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rPr>
        <w:t>湖南省文化和旅游厅艺术</w:t>
      </w:r>
    </w:p>
    <w:p>
      <w:pPr>
        <w:pStyle w:val="9"/>
        <w:jc w:val="center"/>
        <w:rPr>
          <w:sz w:val="84"/>
          <w:szCs w:val="84"/>
        </w:rPr>
      </w:pPr>
      <w:r>
        <w:rPr>
          <w:rFonts w:hint="eastAsia"/>
          <w:sz w:val="84"/>
          <w:szCs w:val="84"/>
        </w:rPr>
        <w:t>幼儿园部门决算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both"/>
        <w:rPr>
          <w:sz w:val="56"/>
          <w:szCs w:val="56"/>
        </w:rPr>
      </w:pPr>
    </w:p>
    <w:p>
      <w:pPr>
        <w:pStyle w:val="9"/>
        <w:spacing w:line="500" w:lineRule="exact"/>
        <w:jc w:val="both"/>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湖南省文化和旅游厅艺术幼儿园</w:t>
      </w:r>
      <w:r>
        <w:rPr>
          <w:rFonts w:hint="eastAsia"/>
          <w:b/>
          <w:sz w:val="28"/>
          <w:szCs w:val="28"/>
        </w:rPr>
        <w:t>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rPr>
        <w:t>湖南省文化和旅游厅艺术</w:t>
      </w:r>
    </w:p>
    <w:p>
      <w:pPr>
        <w:pStyle w:val="9"/>
        <w:jc w:val="center"/>
        <w:rPr>
          <w:sz w:val="84"/>
          <w:szCs w:val="84"/>
        </w:rPr>
      </w:pPr>
      <w:r>
        <w:rPr>
          <w:rFonts w:hint="eastAsia"/>
          <w:sz w:val="84"/>
          <w:szCs w:val="84"/>
        </w:rPr>
        <w:t>幼儿园概况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560" w:firstLineChars="200"/>
        <w:jc w:val="left"/>
        <w:rPr>
          <w:rFonts w:asciiTheme="minorEastAsia" w:hAnsiTheme="minorEastAsia"/>
          <w:sz w:val="28"/>
          <w:szCs w:val="32"/>
        </w:rPr>
      </w:pPr>
      <w:r>
        <w:rPr>
          <w:rFonts w:hint="eastAsia" w:asciiTheme="minorEastAsia" w:hAnsiTheme="minorEastAsia"/>
          <w:sz w:val="28"/>
          <w:szCs w:val="32"/>
        </w:rPr>
        <w:t>湖南省文化和旅游厅艺术幼儿园严格贯彻落实《幼儿园工作规程》、《幼儿园教育指导纲要》、《0-3岁幼儿教育发展指南》精神，对幼儿实施德智体美劳诸方面的全面培养，促进幼儿身心和谐发展。</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numPr>
          <w:ilvl w:val="0"/>
          <w:numId w:val="0"/>
        </w:numPr>
        <w:spacing w:line="600" w:lineRule="exact"/>
        <w:ind w:firstLine="560" w:firstLineChars="200"/>
        <w:rPr>
          <w:rFonts w:asciiTheme="minorEastAsia" w:hAnsiTheme="minorEastAsia"/>
          <w:bCs/>
          <w:kern w:val="0"/>
          <w:sz w:val="28"/>
          <w:szCs w:val="28"/>
        </w:rPr>
      </w:pPr>
      <w:r>
        <w:rPr>
          <w:rFonts w:hint="eastAsia" w:asciiTheme="minorEastAsia" w:hAnsiTheme="minorEastAsia"/>
          <w:bCs/>
          <w:kern w:val="0"/>
          <w:sz w:val="28"/>
          <w:szCs w:val="28"/>
        </w:rPr>
        <w:t>（一）内设机构设置：湖南省文化和旅游厅艺术幼儿园由本部及两所分园（湖南省文化和旅游厅艺术幼儿园梅溪湖分园、湖南省文化和旅游厅艺术幼儿园天心分园）组成，三所园财务单独核算，统一预决算。</w:t>
      </w:r>
    </w:p>
    <w:p>
      <w:pPr>
        <w:widowControl/>
        <w:spacing w:line="600" w:lineRule="exact"/>
        <w:ind w:firstLine="560" w:firstLineChars="200"/>
        <w:rPr>
          <w:rFonts w:hint="eastAsia" w:asciiTheme="minorEastAsia" w:hAnsiTheme="minorEastAsia" w:eastAsiaTheme="minorEastAsia"/>
          <w:bCs/>
          <w:kern w:val="0"/>
          <w:sz w:val="28"/>
          <w:szCs w:val="28"/>
          <w:lang w:eastAsia="zh-CN"/>
        </w:rPr>
      </w:pPr>
      <w:r>
        <w:rPr>
          <w:rFonts w:hint="eastAsia" w:asciiTheme="minorEastAsia" w:hAnsiTheme="minorEastAsia"/>
          <w:bCs/>
          <w:kern w:val="0"/>
          <w:sz w:val="28"/>
          <w:szCs w:val="28"/>
        </w:rPr>
        <w:t>（二）决算单位构成:</w:t>
      </w:r>
      <w:r>
        <w:rPr>
          <w:rFonts w:asciiTheme="minorEastAsia" w:hAnsiTheme="minorEastAsia"/>
          <w:bCs/>
          <w:kern w:val="0"/>
          <w:sz w:val="28"/>
          <w:szCs w:val="28"/>
        </w:rPr>
        <w:t>20</w:t>
      </w:r>
      <w:r>
        <w:rPr>
          <w:rFonts w:hint="eastAsia" w:asciiTheme="minorEastAsia" w:hAnsiTheme="minorEastAsia"/>
          <w:bCs/>
          <w:kern w:val="0"/>
          <w:sz w:val="28"/>
          <w:szCs w:val="28"/>
        </w:rPr>
        <w:t>2</w:t>
      </w:r>
      <w:r>
        <w:rPr>
          <w:rFonts w:hint="eastAsia" w:asciiTheme="minorEastAsia" w:hAnsiTheme="minorEastAsia"/>
          <w:bCs/>
          <w:kern w:val="0"/>
          <w:sz w:val="28"/>
          <w:szCs w:val="28"/>
          <w:lang w:val="en-US" w:eastAsia="zh-CN"/>
        </w:rPr>
        <w:t>1</w:t>
      </w:r>
      <w:r>
        <w:rPr>
          <w:rFonts w:hint="eastAsia" w:asciiTheme="minorEastAsia" w:hAnsiTheme="minorEastAsia"/>
          <w:bCs/>
          <w:kern w:val="0"/>
          <w:sz w:val="28"/>
          <w:szCs w:val="28"/>
        </w:rPr>
        <w:t>年部门决算汇总公开单位：湖南省文化和旅游厅</w:t>
      </w:r>
      <w:r>
        <w:rPr>
          <w:rFonts w:asciiTheme="minorEastAsia" w:hAnsiTheme="minorEastAsia"/>
          <w:bCs/>
          <w:kern w:val="0"/>
          <w:sz w:val="28"/>
          <w:szCs w:val="28"/>
        </w:rPr>
        <w:t>艺术幼儿园</w:t>
      </w:r>
      <w:r>
        <w:rPr>
          <w:rFonts w:hint="eastAsia" w:asciiTheme="minorEastAsia" w:hAnsiTheme="minorEastAsia"/>
          <w:bCs/>
          <w:kern w:val="0"/>
          <w:sz w:val="28"/>
          <w:szCs w:val="28"/>
          <w:lang w:eastAsia="zh-CN"/>
        </w:rPr>
        <w:t>本部及两所分园</w:t>
      </w:r>
      <w:r>
        <w:rPr>
          <w:rFonts w:hint="eastAsia" w:asciiTheme="minorEastAsia" w:hAnsiTheme="minorEastAsia"/>
          <w:bCs/>
          <w:kern w:val="0"/>
          <w:sz w:val="28"/>
          <w:szCs w:val="28"/>
        </w:rPr>
        <w:t>（湖南省文化和旅游厅艺术幼儿园梅溪湖分园、湖南省文化和旅游厅艺术幼儿园天心分园）</w:t>
      </w:r>
      <w:r>
        <w:rPr>
          <w:rFonts w:hint="eastAsia" w:asciiTheme="minorEastAsia" w:hAnsiTheme="minorEastAsia"/>
          <w:bCs/>
          <w:kern w:val="0"/>
          <w:sz w:val="28"/>
          <w:szCs w:val="28"/>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9"/>
        <w:jc w:val="center"/>
        <w:rPr>
          <w:rFonts w:hint="eastAsia"/>
          <w:sz w:val="84"/>
          <w:szCs w:val="84"/>
        </w:rPr>
      </w:pPr>
      <w:r>
        <w:rPr>
          <w:rFonts w:hint="eastAsia"/>
          <w:sz w:val="84"/>
          <w:szCs w:val="84"/>
        </w:rPr>
        <w:t>第二部分</w:t>
      </w:r>
    </w:p>
    <w:p>
      <w:pPr>
        <w:pStyle w:val="9"/>
        <w:jc w:val="center"/>
        <w:rPr>
          <w:rFonts w:hint="eastAsia"/>
          <w:sz w:val="84"/>
          <w:szCs w:val="84"/>
        </w:rPr>
      </w:pPr>
    </w:p>
    <w:p>
      <w:pPr>
        <w:pStyle w:val="9"/>
        <w:jc w:val="center"/>
        <w:rPr>
          <w:rFonts w:hint="eastAsia"/>
          <w:sz w:val="84"/>
          <w:szCs w:val="84"/>
        </w:rPr>
      </w:pPr>
      <w:r>
        <w:rPr>
          <w:rFonts w:hint="eastAsia"/>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fixed"/>
        <w:tblCellMar>
          <w:top w:w="0" w:type="dxa"/>
          <w:left w:w="108" w:type="dxa"/>
          <w:bottom w:w="0" w:type="dxa"/>
          <w:right w:w="108" w:type="dxa"/>
        </w:tblCellMar>
      </w:tblPr>
      <w:tblGrid>
        <w:gridCol w:w="4000"/>
        <w:gridCol w:w="442"/>
        <w:gridCol w:w="817"/>
        <w:gridCol w:w="879"/>
        <w:gridCol w:w="231"/>
        <w:gridCol w:w="3357"/>
        <w:gridCol w:w="825"/>
        <w:gridCol w:w="1413"/>
        <w:gridCol w:w="643"/>
        <w:gridCol w:w="1474"/>
      </w:tblGrid>
      <w:tr>
        <w:tblPrEx>
          <w:tblCellMar>
            <w:top w:w="0" w:type="dxa"/>
            <w:left w:w="108" w:type="dxa"/>
            <w:bottom w:w="0" w:type="dxa"/>
            <w:right w:w="108" w:type="dxa"/>
          </w:tblCellMar>
        </w:tblPrEx>
        <w:trPr>
          <w:trHeight w:val="360" w:hRule="atLeast"/>
        </w:trPr>
        <w:tc>
          <w:tcPr>
            <w:tcW w:w="1408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5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8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59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4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7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59"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湖南省文化和旅游厅艺术幼儿园</w:t>
            </w:r>
          </w:p>
        </w:tc>
        <w:tc>
          <w:tcPr>
            <w:tcW w:w="8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59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4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7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613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7943" w:type="dxa"/>
            <w:gridSpan w:val="6"/>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69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58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530"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9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58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530"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0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69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1788.20</w:t>
            </w:r>
            <w:r>
              <w:rPr>
                <w:rFonts w:hint="eastAsia" w:ascii="宋体" w:hAnsi="宋体" w:eastAsia="宋体" w:cs="宋体"/>
                <w:kern w:val="0"/>
                <w:sz w:val="22"/>
              </w:rPr>
              <w:t>　</w:t>
            </w:r>
          </w:p>
        </w:tc>
        <w:tc>
          <w:tcPr>
            <w:tcW w:w="3588"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5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108" w:type="dxa"/>
            <w:bottom w:w="0" w:type="dxa"/>
            <w:right w:w="108" w:type="dxa"/>
          </w:tblCellMar>
        </w:tblPrEx>
        <w:trPr>
          <w:trHeight w:val="340" w:hRule="atLeast"/>
        </w:trPr>
        <w:tc>
          <w:tcPr>
            <w:tcW w:w="400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69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3588"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5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108" w:type="dxa"/>
            <w:bottom w:w="0" w:type="dxa"/>
            <w:right w:w="108" w:type="dxa"/>
          </w:tblCellMar>
        </w:tblPrEx>
        <w:trPr>
          <w:trHeight w:val="340" w:hRule="atLeast"/>
        </w:trPr>
        <w:tc>
          <w:tcPr>
            <w:tcW w:w="40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69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3588"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5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108" w:type="dxa"/>
            <w:bottom w:w="0" w:type="dxa"/>
            <w:right w:w="108" w:type="dxa"/>
          </w:tblCellMar>
        </w:tblPrEx>
        <w:trPr>
          <w:trHeight w:val="340" w:hRule="atLeast"/>
        </w:trPr>
        <w:tc>
          <w:tcPr>
            <w:tcW w:w="400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69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3588"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5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108" w:type="dxa"/>
            <w:bottom w:w="0" w:type="dxa"/>
            <w:right w:w="108" w:type="dxa"/>
          </w:tblCellMar>
        </w:tblPrEx>
        <w:trPr>
          <w:trHeight w:val="340" w:hRule="atLeast"/>
        </w:trPr>
        <w:tc>
          <w:tcPr>
            <w:tcW w:w="400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69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837.61　</w:t>
            </w:r>
          </w:p>
        </w:tc>
        <w:tc>
          <w:tcPr>
            <w:tcW w:w="3588"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5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333.75　</w:t>
            </w:r>
          </w:p>
        </w:tc>
      </w:tr>
      <w:tr>
        <w:tblPrEx>
          <w:tblCellMar>
            <w:top w:w="0" w:type="dxa"/>
            <w:left w:w="108" w:type="dxa"/>
            <w:bottom w:w="0" w:type="dxa"/>
            <w:right w:w="108" w:type="dxa"/>
          </w:tblCellMar>
        </w:tblPrEx>
        <w:trPr>
          <w:trHeight w:val="340" w:hRule="atLeast"/>
        </w:trPr>
        <w:tc>
          <w:tcPr>
            <w:tcW w:w="400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69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3588"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5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108" w:type="dxa"/>
            <w:bottom w:w="0" w:type="dxa"/>
            <w:right w:w="108" w:type="dxa"/>
          </w:tblCellMar>
        </w:tblPrEx>
        <w:trPr>
          <w:trHeight w:val="340" w:hRule="atLeast"/>
        </w:trPr>
        <w:tc>
          <w:tcPr>
            <w:tcW w:w="400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69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35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七、文化旅游体育与传媒支出</w:t>
            </w:r>
          </w:p>
        </w:tc>
        <w:tc>
          <w:tcPr>
            <w:tcW w:w="8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5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2048.81　</w:t>
            </w:r>
          </w:p>
        </w:tc>
      </w:tr>
      <w:tr>
        <w:tblPrEx>
          <w:tblCellMar>
            <w:top w:w="0" w:type="dxa"/>
            <w:left w:w="108" w:type="dxa"/>
            <w:bottom w:w="0" w:type="dxa"/>
            <w:right w:w="108" w:type="dxa"/>
          </w:tblCellMar>
        </w:tblPrEx>
        <w:trPr>
          <w:trHeight w:val="340" w:hRule="atLeast"/>
        </w:trPr>
        <w:tc>
          <w:tcPr>
            <w:tcW w:w="400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69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132.49</w:t>
            </w:r>
          </w:p>
        </w:tc>
        <w:tc>
          <w:tcPr>
            <w:tcW w:w="35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八、社会保障和就业支出</w:t>
            </w:r>
          </w:p>
        </w:tc>
        <w:tc>
          <w:tcPr>
            <w:tcW w:w="8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5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186.00　</w:t>
            </w:r>
          </w:p>
        </w:tc>
      </w:tr>
      <w:tr>
        <w:tblPrEx>
          <w:tblCellMar>
            <w:top w:w="0" w:type="dxa"/>
            <w:left w:w="108" w:type="dxa"/>
            <w:bottom w:w="0" w:type="dxa"/>
            <w:right w:w="108" w:type="dxa"/>
          </w:tblCellMar>
        </w:tblPrEx>
        <w:trPr>
          <w:trHeight w:val="340" w:hRule="atLeast"/>
        </w:trPr>
        <w:tc>
          <w:tcPr>
            <w:tcW w:w="400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69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358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5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108" w:type="dxa"/>
            <w:bottom w:w="0" w:type="dxa"/>
            <w:right w:w="108" w:type="dxa"/>
          </w:tblCellMar>
        </w:tblPrEx>
        <w:trPr>
          <w:trHeight w:val="340" w:hRule="atLeast"/>
        </w:trPr>
        <w:tc>
          <w:tcPr>
            <w:tcW w:w="4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69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2758.30　</w:t>
            </w:r>
          </w:p>
        </w:tc>
        <w:tc>
          <w:tcPr>
            <w:tcW w:w="35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5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2568.56</w:t>
            </w:r>
          </w:p>
        </w:tc>
      </w:tr>
      <w:tr>
        <w:tblPrEx>
          <w:tblCellMar>
            <w:top w:w="0" w:type="dxa"/>
            <w:left w:w="108" w:type="dxa"/>
            <w:bottom w:w="0" w:type="dxa"/>
            <w:right w:w="108" w:type="dxa"/>
          </w:tblCellMar>
        </w:tblPrEx>
        <w:trPr>
          <w:trHeight w:val="340" w:hRule="atLeast"/>
        </w:trPr>
        <w:tc>
          <w:tcPr>
            <w:tcW w:w="40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69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35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5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108" w:type="dxa"/>
            <w:bottom w:w="0" w:type="dxa"/>
            <w:right w:w="108" w:type="dxa"/>
          </w:tblCellMar>
        </w:tblPrEx>
        <w:trPr>
          <w:trHeight w:val="340" w:hRule="atLeast"/>
        </w:trPr>
        <w:tc>
          <w:tcPr>
            <w:tcW w:w="40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69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397.86　</w:t>
            </w:r>
          </w:p>
        </w:tc>
        <w:tc>
          <w:tcPr>
            <w:tcW w:w="35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5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587.60</w:t>
            </w:r>
          </w:p>
        </w:tc>
      </w:tr>
      <w:tr>
        <w:tblPrEx>
          <w:tblCellMar>
            <w:top w:w="0" w:type="dxa"/>
            <w:left w:w="108" w:type="dxa"/>
            <w:bottom w:w="0" w:type="dxa"/>
            <w:right w:w="108" w:type="dxa"/>
          </w:tblCellMar>
        </w:tblPrEx>
        <w:trPr>
          <w:trHeight w:val="340" w:hRule="atLeast"/>
        </w:trPr>
        <w:tc>
          <w:tcPr>
            <w:tcW w:w="4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69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3156.16　</w:t>
            </w:r>
          </w:p>
        </w:tc>
        <w:tc>
          <w:tcPr>
            <w:tcW w:w="358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5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3156.16　</w:t>
            </w:r>
          </w:p>
        </w:tc>
      </w:tr>
      <w:tr>
        <w:tblPrEx>
          <w:tblCellMar>
            <w:top w:w="0" w:type="dxa"/>
            <w:left w:w="108" w:type="dxa"/>
            <w:bottom w:w="0" w:type="dxa"/>
            <w:right w:w="108" w:type="dxa"/>
          </w:tblCellMar>
        </w:tblPrEx>
        <w:trPr>
          <w:trHeight w:val="1020" w:hRule="atLeast"/>
        </w:trPr>
        <w:tc>
          <w:tcPr>
            <w:tcW w:w="1408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428" w:type="dxa"/>
        <w:tblInd w:w="0" w:type="dxa"/>
        <w:tblLayout w:type="autofit"/>
        <w:tblCellMar>
          <w:top w:w="0" w:type="dxa"/>
          <w:left w:w="0" w:type="dxa"/>
          <w:bottom w:w="0" w:type="dxa"/>
          <w:right w:w="0" w:type="dxa"/>
        </w:tblCellMar>
      </w:tblPr>
      <w:tblGrid>
        <w:gridCol w:w="56"/>
        <w:gridCol w:w="901"/>
        <w:gridCol w:w="6328"/>
        <w:gridCol w:w="1188"/>
        <w:gridCol w:w="1188"/>
        <w:gridCol w:w="846"/>
        <w:gridCol w:w="1121"/>
        <w:gridCol w:w="846"/>
        <w:gridCol w:w="846"/>
        <w:gridCol w:w="2108"/>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5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632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8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8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4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2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4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4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0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95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6328" w:type="dxa"/>
            <w:tcBorders>
              <w:top w:val="nil"/>
              <w:left w:val="nil"/>
              <w:bottom w:val="nil"/>
              <w:right w:val="nil"/>
            </w:tcBorders>
            <w:shd w:val="clear" w:color="000000" w:fill="FFFFFF"/>
            <w:noWrap/>
            <w:tcMar>
              <w:top w:w="15" w:type="dxa"/>
              <w:left w:w="15" w:type="dxa"/>
              <w:bottom w:w="0" w:type="dxa"/>
              <w:right w:w="15" w:type="dxa"/>
            </w:tcMar>
            <w:vAlign w:val="center"/>
          </w:tcPr>
          <w:p>
            <w:pPr>
              <w:jc w:val="left"/>
              <w:rPr>
                <w:rFonts w:ascii="宋体" w:hAnsi="宋体" w:eastAsia="宋体" w:cs="宋体"/>
                <w:sz w:val="24"/>
                <w:szCs w:val="24"/>
              </w:rPr>
            </w:pPr>
            <w:r>
              <w:rPr>
                <w:rFonts w:ascii="宋体" w:hAnsi="宋体" w:eastAsia="宋体" w:cs="宋体"/>
                <w:color w:val="000000"/>
                <w:kern w:val="0"/>
                <w:sz w:val="20"/>
                <w:szCs w:val="20"/>
              </w:rPr>
              <w:t>湖南省文化和旅游厅艺术幼儿园</w:t>
            </w:r>
            <w:r>
              <w:rPr>
                <w:rFonts w:hint="eastAsia"/>
              </w:rPr>
              <w:t>　</w:t>
            </w:r>
          </w:p>
        </w:tc>
        <w:tc>
          <w:tcPr>
            <w:tcW w:w="118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8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46"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12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4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4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0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728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18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18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84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12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84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84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0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95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6328"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632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7285"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18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18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12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10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7285"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2758.30　</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1788.20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11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837.61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21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132.49　</w:t>
            </w:r>
          </w:p>
        </w:tc>
      </w:tr>
      <w:tr>
        <w:tblPrEx>
          <w:tblCellMar>
            <w:top w:w="0" w:type="dxa"/>
            <w:left w:w="0" w:type="dxa"/>
            <w:bottom w:w="0" w:type="dxa"/>
            <w:right w:w="0" w:type="dxa"/>
          </w:tblCellMar>
        </w:tblPrEx>
        <w:trPr>
          <w:trHeight w:val="450" w:hRule="atLeast"/>
        </w:trPr>
        <w:tc>
          <w:tcPr>
            <w:tcW w:w="95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cs="Arial" w:asciiTheme="minorEastAsia" w:hAnsiTheme="minorEastAsia" w:eastAsiaTheme="minorEastAsia"/>
                <w:b/>
                <w:bCs w:val="0"/>
                <w:kern w:val="0"/>
                <w:sz w:val="22"/>
                <w:szCs w:val="22"/>
                <w:lang w:val="en-US" w:eastAsia="zh-CN" w:bidi="ar-SA"/>
              </w:rPr>
            </w:pPr>
            <w:r>
              <w:rPr>
                <w:rFonts w:hint="eastAsia" w:cs="Arial" w:asciiTheme="minorEastAsia" w:hAnsiTheme="minorEastAsia"/>
                <w:b/>
                <w:bCs w:val="0"/>
                <w:kern w:val="0"/>
                <w:sz w:val="22"/>
              </w:rPr>
              <w:t>205</w:t>
            </w:r>
          </w:p>
        </w:tc>
        <w:tc>
          <w:tcPr>
            <w:tcW w:w="63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cs="Arial" w:asciiTheme="minorEastAsia" w:hAnsiTheme="minorEastAsia" w:eastAsiaTheme="minorEastAsia"/>
                <w:b/>
                <w:bCs w:val="0"/>
                <w:kern w:val="0"/>
                <w:sz w:val="22"/>
                <w:szCs w:val="22"/>
                <w:lang w:val="en-US" w:eastAsia="zh-CN" w:bidi="ar-SA"/>
              </w:rPr>
            </w:pPr>
            <w:r>
              <w:rPr>
                <w:rFonts w:hint="eastAsia" w:cs="Arial" w:asciiTheme="minorEastAsia" w:hAnsiTheme="minorEastAsia"/>
                <w:b/>
                <w:bCs w:val="0"/>
                <w:kern w:val="0"/>
                <w:sz w:val="22"/>
              </w:rPr>
              <w:t>教育支出</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161.00　</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161.00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11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21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0" w:type="dxa"/>
            <w:bottom w:w="0" w:type="dxa"/>
            <w:right w:w="0" w:type="dxa"/>
          </w:tblCellMar>
        </w:tblPrEx>
        <w:trPr>
          <w:trHeight w:val="450" w:hRule="atLeast"/>
        </w:trPr>
        <w:tc>
          <w:tcPr>
            <w:tcW w:w="95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cs="Arial" w:asciiTheme="minorEastAsia" w:hAnsiTheme="minorEastAsia" w:eastAsiaTheme="minorEastAsia"/>
                <w:b/>
                <w:bCs w:val="0"/>
                <w:kern w:val="0"/>
                <w:sz w:val="22"/>
                <w:szCs w:val="22"/>
                <w:lang w:val="en-US" w:eastAsia="zh-CN" w:bidi="ar-SA"/>
              </w:rPr>
            </w:pPr>
            <w:r>
              <w:rPr>
                <w:rFonts w:hint="eastAsia" w:cs="Arial" w:asciiTheme="minorEastAsia" w:hAnsiTheme="minorEastAsia"/>
                <w:b/>
                <w:bCs w:val="0"/>
                <w:kern w:val="0"/>
                <w:sz w:val="22"/>
              </w:rPr>
              <w:t>20502</w:t>
            </w:r>
          </w:p>
        </w:tc>
        <w:tc>
          <w:tcPr>
            <w:tcW w:w="63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cs="Arial" w:asciiTheme="minorEastAsia" w:hAnsiTheme="minorEastAsia" w:eastAsiaTheme="minorEastAsia"/>
                <w:b/>
                <w:bCs w:val="0"/>
                <w:kern w:val="0"/>
                <w:sz w:val="22"/>
                <w:szCs w:val="22"/>
                <w:lang w:val="en-US" w:eastAsia="zh-CN" w:bidi="ar-SA"/>
              </w:rPr>
            </w:pPr>
            <w:r>
              <w:rPr>
                <w:rFonts w:hint="eastAsia" w:cs="Arial" w:asciiTheme="minorEastAsia" w:hAnsiTheme="minorEastAsia"/>
                <w:b/>
                <w:bCs w:val="0"/>
                <w:kern w:val="0"/>
                <w:sz w:val="22"/>
              </w:rPr>
              <w:t>普通教育</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161.00　</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161.00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11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21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0" w:type="dxa"/>
            <w:bottom w:w="0" w:type="dxa"/>
            <w:right w:w="0" w:type="dxa"/>
          </w:tblCellMar>
        </w:tblPrEx>
        <w:trPr>
          <w:trHeight w:val="450" w:hRule="atLeast"/>
        </w:trPr>
        <w:tc>
          <w:tcPr>
            <w:tcW w:w="95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2050201</w:t>
            </w:r>
          </w:p>
        </w:tc>
        <w:tc>
          <w:tcPr>
            <w:tcW w:w="63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 xml:space="preserve">  学前教育</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161.00　</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161.00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11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21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0" w:type="dxa"/>
            <w:bottom w:w="0" w:type="dxa"/>
            <w:right w:w="0" w:type="dxa"/>
          </w:tblCellMar>
        </w:tblPrEx>
        <w:trPr>
          <w:trHeight w:val="450" w:hRule="atLeast"/>
        </w:trPr>
        <w:tc>
          <w:tcPr>
            <w:tcW w:w="95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cs="Arial" w:asciiTheme="minorEastAsia" w:hAnsiTheme="minorEastAsia" w:eastAsiaTheme="minorEastAsia"/>
                <w:b/>
                <w:bCs w:val="0"/>
                <w:kern w:val="0"/>
                <w:sz w:val="22"/>
                <w:szCs w:val="22"/>
                <w:lang w:val="en-US" w:eastAsia="zh-CN" w:bidi="ar-SA"/>
              </w:rPr>
            </w:pPr>
            <w:r>
              <w:rPr>
                <w:rFonts w:hint="eastAsia" w:cs="Arial" w:asciiTheme="minorEastAsia" w:hAnsiTheme="minorEastAsia"/>
                <w:b/>
                <w:bCs w:val="0"/>
                <w:kern w:val="0"/>
                <w:sz w:val="22"/>
              </w:rPr>
              <w:t>207</w:t>
            </w:r>
          </w:p>
        </w:tc>
        <w:tc>
          <w:tcPr>
            <w:tcW w:w="63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cs="Arial" w:asciiTheme="minorEastAsia" w:hAnsiTheme="minorEastAsia" w:eastAsiaTheme="minorEastAsia"/>
                <w:b/>
                <w:bCs w:val="0"/>
                <w:kern w:val="0"/>
                <w:sz w:val="22"/>
                <w:szCs w:val="22"/>
                <w:lang w:val="en-US" w:eastAsia="zh-CN" w:bidi="ar-SA"/>
              </w:rPr>
            </w:pPr>
            <w:r>
              <w:rPr>
                <w:rFonts w:hint="eastAsia" w:cs="Arial" w:asciiTheme="minorEastAsia" w:hAnsiTheme="minorEastAsia"/>
                <w:b/>
                <w:bCs w:val="0"/>
                <w:kern w:val="0"/>
                <w:sz w:val="22"/>
              </w:rPr>
              <w:t>文化旅游体育与传媒支出</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2411.30　</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1441.20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11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837.61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21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132.49　</w:t>
            </w:r>
          </w:p>
        </w:tc>
      </w:tr>
      <w:tr>
        <w:tblPrEx>
          <w:tblCellMar>
            <w:top w:w="0" w:type="dxa"/>
            <w:left w:w="0" w:type="dxa"/>
            <w:bottom w:w="0" w:type="dxa"/>
            <w:right w:w="0" w:type="dxa"/>
          </w:tblCellMar>
        </w:tblPrEx>
        <w:trPr>
          <w:trHeight w:val="450" w:hRule="atLeast"/>
        </w:trPr>
        <w:tc>
          <w:tcPr>
            <w:tcW w:w="95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cs="Arial" w:asciiTheme="minorEastAsia" w:hAnsiTheme="minorEastAsia" w:eastAsiaTheme="minorEastAsia"/>
                <w:b/>
                <w:bCs w:val="0"/>
                <w:kern w:val="0"/>
                <w:sz w:val="22"/>
                <w:szCs w:val="22"/>
                <w:lang w:val="en-US" w:eastAsia="zh-CN" w:bidi="ar-SA"/>
              </w:rPr>
            </w:pPr>
            <w:r>
              <w:rPr>
                <w:rFonts w:hint="eastAsia" w:cs="Arial" w:asciiTheme="minorEastAsia" w:hAnsiTheme="minorEastAsia"/>
                <w:b/>
                <w:bCs w:val="0"/>
                <w:kern w:val="0"/>
                <w:sz w:val="22"/>
              </w:rPr>
              <w:t>20701</w:t>
            </w:r>
          </w:p>
        </w:tc>
        <w:tc>
          <w:tcPr>
            <w:tcW w:w="63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cs="Arial" w:asciiTheme="minorEastAsia" w:hAnsiTheme="minorEastAsia" w:eastAsiaTheme="minorEastAsia"/>
                <w:b/>
                <w:bCs w:val="0"/>
                <w:kern w:val="0"/>
                <w:sz w:val="22"/>
                <w:szCs w:val="22"/>
                <w:lang w:val="en-US" w:eastAsia="zh-CN" w:bidi="ar-SA"/>
              </w:rPr>
            </w:pPr>
            <w:r>
              <w:rPr>
                <w:rFonts w:hint="eastAsia" w:cs="Arial" w:asciiTheme="minorEastAsia" w:hAnsiTheme="minorEastAsia"/>
                <w:b/>
                <w:bCs w:val="0"/>
                <w:kern w:val="0"/>
                <w:sz w:val="22"/>
              </w:rPr>
              <w:t>文化和旅游</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2361.30　</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1391.20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11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837.61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21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132.49　</w:t>
            </w:r>
          </w:p>
        </w:tc>
      </w:tr>
      <w:tr>
        <w:tblPrEx>
          <w:tblCellMar>
            <w:top w:w="0" w:type="dxa"/>
            <w:left w:w="0" w:type="dxa"/>
            <w:bottom w:w="0" w:type="dxa"/>
            <w:right w:w="0" w:type="dxa"/>
          </w:tblCellMar>
        </w:tblPrEx>
        <w:trPr>
          <w:trHeight w:val="450" w:hRule="atLeast"/>
        </w:trPr>
        <w:tc>
          <w:tcPr>
            <w:tcW w:w="95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2070199</w:t>
            </w:r>
          </w:p>
        </w:tc>
        <w:tc>
          <w:tcPr>
            <w:tcW w:w="63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 xml:space="preserve">  其他文化和旅游支出</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2361.30　</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1391.20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11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837.61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21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132.49　</w:t>
            </w:r>
          </w:p>
        </w:tc>
      </w:tr>
      <w:tr>
        <w:tblPrEx>
          <w:tblCellMar>
            <w:top w:w="0" w:type="dxa"/>
            <w:left w:w="0" w:type="dxa"/>
            <w:bottom w:w="0" w:type="dxa"/>
            <w:right w:w="0" w:type="dxa"/>
          </w:tblCellMar>
        </w:tblPrEx>
        <w:trPr>
          <w:trHeight w:val="450" w:hRule="atLeast"/>
        </w:trPr>
        <w:tc>
          <w:tcPr>
            <w:tcW w:w="95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cs="Arial" w:asciiTheme="minorEastAsia" w:hAnsiTheme="minorEastAsia" w:eastAsiaTheme="minorEastAsia"/>
                <w:b/>
                <w:bCs/>
                <w:kern w:val="0"/>
                <w:sz w:val="22"/>
                <w:lang w:val="en-US" w:eastAsia="zh-CN"/>
              </w:rPr>
            </w:pPr>
            <w:r>
              <w:rPr>
                <w:rFonts w:hint="eastAsia" w:cs="Arial" w:asciiTheme="minorEastAsia" w:hAnsiTheme="minorEastAsia"/>
                <w:b/>
                <w:bCs/>
                <w:kern w:val="0"/>
                <w:sz w:val="22"/>
                <w:lang w:val="en-US" w:eastAsia="zh-CN"/>
              </w:rPr>
              <w:t>20799</w:t>
            </w:r>
          </w:p>
        </w:tc>
        <w:tc>
          <w:tcPr>
            <w:tcW w:w="63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cs="Arial" w:asciiTheme="minorEastAsia" w:hAnsiTheme="minorEastAsia" w:eastAsiaTheme="minorEastAsia"/>
                <w:b/>
                <w:bCs/>
                <w:kern w:val="0"/>
                <w:sz w:val="22"/>
                <w:lang w:val="en-US" w:eastAsia="zh-CN"/>
              </w:rPr>
            </w:pPr>
            <w:r>
              <w:rPr>
                <w:rFonts w:hint="eastAsia" w:cs="Arial" w:asciiTheme="minorEastAsia" w:hAnsiTheme="minorEastAsia"/>
                <w:b/>
                <w:bCs/>
                <w:kern w:val="0"/>
                <w:sz w:val="22"/>
                <w:lang w:val="en-US" w:eastAsia="zh-CN"/>
              </w:rPr>
              <w:t>其他文化旅游体育与传媒支出</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50.00</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50.00</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11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21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r>
      <w:tr>
        <w:tblPrEx>
          <w:tblCellMar>
            <w:top w:w="0" w:type="dxa"/>
            <w:left w:w="0" w:type="dxa"/>
            <w:bottom w:w="0" w:type="dxa"/>
            <w:right w:w="0" w:type="dxa"/>
          </w:tblCellMar>
        </w:tblPrEx>
        <w:trPr>
          <w:trHeight w:val="450" w:hRule="atLeast"/>
        </w:trPr>
        <w:tc>
          <w:tcPr>
            <w:tcW w:w="95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cs="Arial" w:asciiTheme="minorEastAsia" w:hAnsiTheme="minorEastAsia" w:eastAsiaTheme="minorEastAsia"/>
                <w:kern w:val="0"/>
                <w:sz w:val="22"/>
                <w:lang w:val="en-US" w:eastAsia="zh-CN"/>
              </w:rPr>
            </w:pPr>
            <w:r>
              <w:rPr>
                <w:rFonts w:hint="eastAsia" w:cs="Arial" w:asciiTheme="minorEastAsia" w:hAnsiTheme="minorEastAsia"/>
                <w:kern w:val="0"/>
                <w:sz w:val="22"/>
                <w:lang w:val="en-US" w:eastAsia="zh-CN"/>
              </w:rPr>
              <w:t>2079999</w:t>
            </w:r>
          </w:p>
        </w:tc>
        <w:tc>
          <w:tcPr>
            <w:tcW w:w="63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cs="Arial" w:asciiTheme="minorEastAsia" w:hAnsiTheme="minorEastAsia" w:eastAsiaTheme="minorEastAsia"/>
                <w:kern w:val="0"/>
                <w:sz w:val="22"/>
                <w:lang w:val="en-US" w:eastAsia="zh-CN"/>
              </w:rPr>
            </w:pPr>
            <w:r>
              <w:rPr>
                <w:rFonts w:hint="eastAsia" w:cs="Arial" w:asciiTheme="minorEastAsia" w:hAnsiTheme="minorEastAsia"/>
                <w:kern w:val="0"/>
                <w:sz w:val="22"/>
                <w:lang w:val="en-US" w:eastAsia="zh-CN"/>
              </w:rPr>
              <w:t xml:space="preserve">  其他文化旅游体育与传媒支出</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50.00</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50.00</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11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21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r>
      <w:tr>
        <w:tblPrEx>
          <w:tblCellMar>
            <w:top w:w="0" w:type="dxa"/>
            <w:left w:w="0" w:type="dxa"/>
            <w:bottom w:w="0" w:type="dxa"/>
            <w:right w:w="0" w:type="dxa"/>
          </w:tblCellMar>
        </w:tblPrEx>
        <w:trPr>
          <w:trHeight w:val="450" w:hRule="atLeast"/>
        </w:trPr>
        <w:tc>
          <w:tcPr>
            <w:tcW w:w="95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eastAsia" w:cs="Arial" w:asciiTheme="minorEastAsia" w:hAnsiTheme="minorEastAsia" w:eastAsiaTheme="minorEastAsia"/>
                <w:b/>
                <w:bCs w:val="0"/>
                <w:kern w:val="0"/>
                <w:sz w:val="22"/>
                <w:szCs w:val="22"/>
                <w:lang w:val="en-US" w:eastAsia="zh-CN" w:bidi="ar-SA"/>
              </w:rPr>
            </w:pPr>
            <w:r>
              <w:rPr>
                <w:rFonts w:hint="eastAsia" w:cs="Arial" w:asciiTheme="minorEastAsia" w:hAnsiTheme="minorEastAsia"/>
                <w:b/>
                <w:bCs w:val="0"/>
                <w:kern w:val="0"/>
                <w:sz w:val="22"/>
              </w:rPr>
              <w:t>208</w:t>
            </w:r>
          </w:p>
        </w:tc>
        <w:tc>
          <w:tcPr>
            <w:tcW w:w="63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eastAsia" w:cs="Arial" w:asciiTheme="minorEastAsia" w:hAnsiTheme="minorEastAsia" w:eastAsiaTheme="minorEastAsia"/>
                <w:b/>
                <w:bCs w:val="0"/>
                <w:kern w:val="0"/>
                <w:sz w:val="22"/>
                <w:szCs w:val="22"/>
                <w:lang w:val="en-US" w:eastAsia="zh-CN" w:bidi="ar-SA"/>
              </w:rPr>
            </w:pPr>
            <w:r>
              <w:rPr>
                <w:rFonts w:hint="eastAsia" w:cs="Arial" w:asciiTheme="minorEastAsia" w:hAnsiTheme="minorEastAsia"/>
                <w:b/>
                <w:bCs w:val="0"/>
                <w:kern w:val="0"/>
                <w:sz w:val="22"/>
              </w:rPr>
              <w:t>社会保障和就业支出</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186.00</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186.00</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11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21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r>
      <w:tr>
        <w:tblPrEx>
          <w:tblCellMar>
            <w:top w:w="0" w:type="dxa"/>
            <w:left w:w="0" w:type="dxa"/>
            <w:bottom w:w="0" w:type="dxa"/>
            <w:right w:w="0" w:type="dxa"/>
          </w:tblCellMar>
        </w:tblPrEx>
        <w:trPr>
          <w:trHeight w:val="450" w:hRule="atLeast"/>
        </w:trPr>
        <w:tc>
          <w:tcPr>
            <w:tcW w:w="95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eastAsia" w:cs="Arial" w:asciiTheme="minorEastAsia" w:hAnsiTheme="minorEastAsia" w:eastAsiaTheme="minorEastAsia"/>
                <w:b/>
                <w:bCs w:val="0"/>
                <w:kern w:val="0"/>
                <w:sz w:val="22"/>
                <w:szCs w:val="22"/>
                <w:lang w:val="en-US" w:eastAsia="zh-CN" w:bidi="ar-SA"/>
              </w:rPr>
            </w:pPr>
            <w:r>
              <w:rPr>
                <w:rFonts w:hint="eastAsia" w:cs="Arial" w:asciiTheme="minorEastAsia" w:hAnsiTheme="minorEastAsia"/>
                <w:b/>
                <w:bCs w:val="0"/>
                <w:kern w:val="0"/>
                <w:sz w:val="22"/>
              </w:rPr>
              <w:t>20805</w:t>
            </w:r>
          </w:p>
        </w:tc>
        <w:tc>
          <w:tcPr>
            <w:tcW w:w="63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eastAsia" w:cs="Arial" w:asciiTheme="minorEastAsia" w:hAnsiTheme="minorEastAsia" w:eastAsiaTheme="minorEastAsia"/>
                <w:b/>
                <w:bCs w:val="0"/>
                <w:kern w:val="0"/>
                <w:sz w:val="22"/>
                <w:szCs w:val="22"/>
                <w:lang w:val="en-US" w:eastAsia="zh-CN" w:bidi="ar-SA"/>
              </w:rPr>
            </w:pPr>
            <w:r>
              <w:rPr>
                <w:rFonts w:hint="eastAsia" w:cs="Arial" w:asciiTheme="minorEastAsia" w:hAnsiTheme="minorEastAsia"/>
                <w:b/>
                <w:bCs w:val="0"/>
                <w:kern w:val="0"/>
                <w:sz w:val="22"/>
              </w:rPr>
              <w:t>行政事业单位养老支出</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186.00</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186.00</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11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21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r>
      <w:tr>
        <w:tblPrEx>
          <w:tblCellMar>
            <w:top w:w="0" w:type="dxa"/>
            <w:left w:w="0" w:type="dxa"/>
            <w:bottom w:w="0" w:type="dxa"/>
            <w:right w:w="0" w:type="dxa"/>
          </w:tblCellMar>
        </w:tblPrEx>
        <w:trPr>
          <w:trHeight w:val="450" w:hRule="atLeast"/>
        </w:trPr>
        <w:tc>
          <w:tcPr>
            <w:tcW w:w="95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eastAsia"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2080505</w:t>
            </w:r>
          </w:p>
        </w:tc>
        <w:tc>
          <w:tcPr>
            <w:tcW w:w="63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eastAsia"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 xml:space="preserve">  机关事业单位基本养老保险缴费支出</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186.00</w:t>
            </w:r>
          </w:p>
        </w:tc>
        <w:tc>
          <w:tcPr>
            <w:tcW w:w="11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186.00</w:t>
            </w: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11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84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c>
          <w:tcPr>
            <w:tcW w:w="21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3183" w:type="dxa"/>
        <w:tblInd w:w="93" w:type="dxa"/>
        <w:tblLayout w:type="fixed"/>
        <w:tblCellMar>
          <w:top w:w="0" w:type="dxa"/>
          <w:left w:w="108" w:type="dxa"/>
          <w:bottom w:w="0" w:type="dxa"/>
          <w:right w:w="108" w:type="dxa"/>
        </w:tblCellMar>
      </w:tblPr>
      <w:tblGrid>
        <w:gridCol w:w="1042"/>
        <w:gridCol w:w="240"/>
        <w:gridCol w:w="4384"/>
        <w:gridCol w:w="1281"/>
        <w:gridCol w:w="1327"/>
        <w:gridCol w:w="1304"/>
        <w:gridCol w:w="1119"/>
        <w:gridCol w:w="992"/>
        <w:gridCol w:w="1494"/>
      </w:tblGrid>
      <w:tr>
        <w:tblPrEx>
          <w:tblCellMar>
            <w:top w:w="0" w:type="dxa"/>
            <w:left w:w="108" w:type="dxa"/>
            <w:bottom w:w="0" w:type="dxa"/>
            <w:right w:w="108" w:type="dxa"/>
          </w:tblCellMar>
        </w:tblPrEx>
        <w:trPr>
          <w:trHeight w:val="435" w:hRule="atLeast"/>
        </w:trPr>
        <w:tc>
          <w:tcPr>
            <w:tcW w:w="13183"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8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0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1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9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84"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ascii="宋体" w:hAnsi="宋体" w:eastAsia="宋体" w:cs="宋体"/>
                <w:color w:val="000000"/>
                <w:kern w:val="0"/>
                <w:sz w:val="20"/>
                <w:szCs w:val="20"/>
              </w:rPr>
              <w:t>湖南省文化和旅游厅艺术幼儿园</w:t>
            </w:r>
            <w:r>
              <w:rPr>
                <w:rFonts w:hint="eastAsia"/>
              </w:rPr>
              <w:t>　</w:t>
            </w:r>
            <w:r>
              <w:rPr>
                <w:rFonts w:hint="eastAsia" w:ascii="宋体" w:hAnsi="宋体" w:eastAsia="宋体" w:cs="宋体"/>
                <w:kern w:val="0"/>
                <w:sz w:val="24"/>
                <w:szCs w:val="24"/>
              </w:rPr>
              <w:t>　</w:t>
            </w:r>
          </w:p>
        </w:tc>
        <w:tc>
          <w:tcPr>
            <w:tcW w:w="12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04"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1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9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566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28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32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30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1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99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49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8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438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1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4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1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5666"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28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3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0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11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4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5666"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28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2568.56</w:t>
            </w:r>
            <w:r>
              <w:rPr>
                <w:rFonts w:hint="eastAsia" w:ascii="宋体" w:hAnsi="宋体" w:eastAsia="宋体" w:cs="宋体"/>
                <w:kern w:val="0"/>
                <w:sz w:val="24"/>
                <w:szCs w:val="24"/>
              </w:rPr>
              <w:t>　</w:t>
            </w:r>
          </w:p>
        </w:tc>
        <w:tc>
          <w:tcPr>
            <w:tcW w:w="13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2110.97</w:t>
            </w:r>
            <w:r>
              <w:rPr>
                <w:rFonts w:hint="eastAsia" w:ascii="宋体" w:hAnsi="宋体" w:eastAsia="宋体" w:cs="宋体"/>
                <w:kern w:val="0"/>
                <w:sz w:val="24"/>
                <w:szCs w:val="24"/>
              </w:rPr>
              <w:t>　</w:t>
            </w:r>
          </w:p>
        </w:tc>
        <w:tc>
          <w:tcPr>
            <w:tcW w:w="13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457.59</w:t>
            </w:r>
            <w:r>
              <w:rPr>
                <w:rFonts w:hint="eastAsia" w:ascii="宋体" w:hAnsi="宋体" w:eastAsia="宋体" w:cs="宋体"/>
                <w:kern w:val="0"/>
                <w:sz w:val="24"/>
                <w:szCs w:val="24"/>
              </w:rPr>
              <w:t>　</w:t>
            </w:r>
          </w:p>
        </w:tc>
        <w:tc>
          <w:tcPr>
            <w:tcW w:w="111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205</w:t>
            </w:r>
          </w:p>
        </w:tc>
        <w:tc>
          <w:tcPr>
            <w:tcW w:w="4384"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教育支出</w:t>
            </w:r>
          </w:p>
        </w:tc>
        <w:tc>
          <w:tcPr>
            <w:tcW w:w="128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333.75</w:t>
            </w:r>
            <w:r>
              <w:rPr>
                <w:rFonts w:hint="eastAsia" w:ascii="宋体" w:hAnsi="宋体" w:eastAsia="宋体" w:cs="宋体"/>
                <w:kern w:val="0"/>
                <w:sz w:val="24"/>
                <w:szCs w:val="24"/>
              </w:rPr>
              <w:t>　</w:t>
            </w:r>
          </w:p>
        </w:tc>
        <w:tc>
          <w:tcPr>
            <w:tcW w:w="13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333.75</w:t>
            </w:r>
            <w:r>
              <w:rPr>
                <w:rFonts w:hint="eastAsia" w:ascii="宋体" w:hAnsi="宋体" w:eastAsia="宋体" w:cs="宋体"/>
                <w:kern w:val="0"/>
                <w:sz w:val="24"/>
                <w:szCs w:val="24"/>
              </w:rPr>
              <w:t>　</w:t>
            </w:r>
          </w:p>
        </w:tc>
        <w:tc>
          <w:tcPr>
            <w:tcW w:w="111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20502</w:t>
            </w:r>
          </w:p>
        </w:tc>
        <w:tc>
          <w:tcPr>
            <w:tcW w:w="4384"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普通教育</w:t>
            </w:r>
          </w:p>
        </w:tc>
        <w:tc>
          <w:tcPr>
            <w:tcW w:w="128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201.00</w:t>
            </w:r>
          </w:p>
        </w:tc>
        <w:tc>
          <w:tcPr>
            <w:tcW w:w="1327"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0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201.00</w:t>
            </w:r>
          </w:p>
        </w:tc>
        <w:tc>
          <w:tcPr>
            <w:tcW w:w="111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2050201</w:t>
            </w:r>
          </w:p>
        </w:tc>
        <w:tc>
          <w:tcPr>
            <w:tcW w:w="4384"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 xml:space="preserve">  学前教育</w:t>
            </w:r>
          </w:p>
        </w:tc>
        <w:tc>
          <w:tcPr>
            <w:tcW w:w="128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201.00</w:t>
            </w:r>
          </w:p>
        </w:tc>
        <w:tc>
          <w:tcPr>
            <w:tcW w:w="1327"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0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201.00</w:t>
            </w:r>
          </w:p>
        </w:tc>
        <w:tc>
          <w:tcPr>
            <w:tcW w:w="111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20599</w:t>
            </w:r>
          </w:p>
        </w:tc>
        <w:tc>
          <w:tcPr>
            <w:tcW w:w="4384"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其他教育支出</w:t>
            </w:r>
          </w:p>
        </w:tc>
        <w:tc>
          <w:tcPr>
            <w:tcW w:w="128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132.75</w:t>
            </w:r>
          </w:p>
        </w:tc>
        <w:tc>
          <w:tcPr>
            <w:tcW w:w="1327"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0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132.75</w:t>
            </w:r>
          </w:p>
        </w:tc>
        <w:tc>
          <w:tcPr>
            <w:tcW w:w="111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2059999</w:t>
            </w:r>
          </w:p>
        </w:tc>
        <w:tc>
          <w:tcPr>
            <w:tcW w:w="4384"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 xml:space="preserve">  其他教育支出</w:t>
            </w:r>
          </w:p>
        </w:tc>
        <w:tc>
          <w:tcPr>
            <w:tcW w:w="128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132.75</w:t>
            </w:r>
          </w:p>
        </w:tc>
        <w:tc>
          <w:tcPr>
            <w:tcW w:w="1327"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0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132.75</w:t>
            </w:r>
          </w:p>
        </w:tc>
        <w:tc>
          <w:tcPr>
            <w:tcW w:w="111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207</w:t>
            </w:r>
          </w:p>
        </w:tc>
        <w:tc>
          <w:tcPr>
            <w:tcW w:w="4384"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文化旅游体育与传媒支出</w:t>
            </w:r>
          </w:p>
        </w:tc>
        <w:tc>
          <w:tcPr>
            <w:tcW w:w="128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2048.81</w:t>
            </w:r>
          </w:p>
        </w:tc>
        <w:tc>
          <w:tcPr>
            <w:tcW w:w="132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1924.97</w:t>
            </w:r>
          </w:p>
        </w:tc>
        <w:tc>
          <w:tcPr>
            <w:tcW w:w="130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123.84</w:t>
            </w:r>
          </w:p>
        </w:tc>
        <w:tc>
          <w:tcPr>
            <w:tcW w:w="111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20701</w:t>
            </w:r>
          </w:p>
        </w:tc>
        <w:tc>
          <w:tcPr>
            <w:tcW w:w="4384"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文化和旅游</w:t>
            </w:r>
          </w:p>
        </w:tc>
        <w:tc>
          <w:tcPr>
            <w:tcW w:w="128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2048.81</w:t>
            </w:r>
            <w:r>
              <w:rPr>
                <w:rFonts w:hint="eastAsia" w:ascii="宋体" w:hAnsi="宋体" w:eastAsia="宋体" w:cs="宋体"/>
                <w:kern w:val="0"/>
                <w:sz w:val="24"/>
                <w:szCs w:val="24"/>
              </w:rPr>
              <w:t>　</w:t>
            </w:r>
          </w:p>
        </w:tc>
        <w:tc>
          <w:tcPr>
            <w:tcW w:w="13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1924.97</w:t>
            </w:r>
            <w:r>
              <w:rPr>
                <w:rFonts w:hint="eastAsia" w:ascii="宋体" w:hAnsi="宋体" w:eastAsia="宋体" w:cs="宋体"/>
                <w:kern w:val="0"/>
                <w:sz w:val="24"/>
                <w:szCs w:val="24"/>
              </w:rPr>
              <w:t>　</w:t>
            </w:r>
          </w:p>
        </w:tc>
        <w:tc>
          <w:tcPr>
            <w:tcW w:w="13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123.84</w:t>
            </w:r>
            <w:r>
              <w:rPr>
                <w:rFonts w:hint="eastAsia" w:ascii="宋体" w:hAnsi="宋体" w:eastAsia="宋体" w:cs="宋体"/>
                <w:kern w:val="0"/>
                <w:sz w:val="24"/>
                <w:szCs w:val="24"/>
              </w:rPr>
              <w:t>　</w:t>
            </w:r>
          </w:p>
        </w:tc>
        <w:tc>
          <w:tcPr>
            <w:tcW w:w="111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2070199</w:t>
            </w:r>
          </w:p>
        </w:tc>
        <w:tc>
          <w:tcPr>
            <w:tcW w:w="4384"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 xml:space="preserve">  其他文化和旅游支出</w:t>
            </w:r>
          </w:p>
        </w:tc>
        <w:tc>
          <w:tcPr>
            <w:tcW w:w="128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2048.81</w:t>
            </w:r>
            <w:r>
              <w:rPr>
                <w:rFonts w:hint="eastAsia" w:ascii="宋体" w:hAnsi="宋体" w:eastAsia="宋体" w:cs="宋体"/>
                <w:kern w:val="0"/>
                <w:sz w:val="24"/>
                <w:szCs w:val="24"/>
              </w:rPr>
              <w:t>　</w:t>
            </w:r>
          </w:p>
        </w:tc>
        <w:tc>
          <w:tcPr>
            <w:tcW w:w="13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1924.97</w:t>
            </w:r>
            <w:r>
              <w:rPr>
                <w:rFonts w:hint="eastAsia" w:ascii="宋体" w:hAnsi="宋体" w:eastAsia="宋体" w:cs="宋体"/>
                <w:kern w:val="0"/>
                <w:sz w:val="24"/>
                <w:szCs w:val="24"/>
              </w:rPr>
              <w:t>　</w:t>
            </w:r>
          </w:p>
        </w:tc>
        <w:tc>
          <w:tcPr>
            <w:tcW w:w="13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123.84</w:t>
            </w:r>
            <w:r>
              <w:rPr>
                <w:rFonts w:hint="eastAsia" w:ascii="宋体" w:hAnsi="宋体" w:eastAsia="宋体" w:cs="宋体"/>
                <w:kern w:val="0"/>
                <w:sz w:val="24"/>
                <w:szCs w:val="24"/>
              </w:rPr>
              <w:t>　</w:t>
            </w:r>
          </w:p>
        </w:tc>
        <w:tc>
          <w:tcPr>
            <w:tcW w:w="111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208</w:t>
            </w:r>
          </w:p>
        </w:tc>
        <w:tc>
          <w:tcPr>
            <w:tcW w:w="4384"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社会保障和就业支出</w:t>
            </w:r>
          </w:p>
        </w:tc>
        <w:tc>
          <w:tcPr>
            <w:tcW w:w="128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186.00</w:t>
            </w:r>
            <w:r>
              <w:rPr>
                <w:rFonts w:hint="eastAsia" w:ascii="宋体" w:hAnsi="宋体" w:eastAsia="宋体" w:cs="宋体"/>
                <w:kern w:val="0"/>
                <w:sz w:val="24"/>
                <w:szCs w:val="24"/>
              </w:rPr>
              <w:t>　</w:t>
            </w:r>
          </w:p>
        </w:tc>
        <w:tc>
          <w:tcPr>
            <w:tcW w:w="13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186.00</w:t>
            </w:r>
            <w:r>
              <w:rPr>
                <w:rFonts w:hint="eastAsia" w:ascii="宋体" w:hAnsi="宋体" w:eastAsia="宋体" w:cs="宋体"/>
                <w:kern w:val="0"/>
                <w:sz w:val="24"/>
                <w:szCs w:val="24"/>
              </w:rPr>
              <w:t>　</w:t>
            </w:r>
          </w:p>
        </w:tc>
        <w:tc>
          <w:tcPr>
            <w:tcW w:w="13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1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20805</w:t>
            </w:r>
          </w:p>
        </w:tc>
        <w:tc>
          <w:tcPr>
            <w:tcW w:w="4384"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行政事业单位养老支出</w:t>
            </w:r>
          </w:p>
        </w:tc>
        <w:tc>
          <w:tcPr>
            <w:tcW w:w="128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186.00</w:t>
            </w:r>
            <w:r>
              <w:rPr>
                <w:rFonts w:hint="eastAsia" w:ascii="宋体" w:hAnsi="宋体" w:eastAsia="宋体" w:cs="宋体"/>
                <w:kern w:val="0"/>
                <w:sz w:val="24"/>
                <w:szCs w:val="24"/>
              </w:rPr>
              <w:t>　</w:t>
            </w:r>
          </w:p>
        </w:tc>
        <w:tc>
          <w:tcPr>
            <w:tcW w:w="13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186.00</w:t>
            </w:r>
            <w:r>
              <w:rPr>
                <w:rFonts w:hint="eastAsia" w:ascii="宋体" w:hAnsi="宋体" w:eastAsia="宋体" w:cs="宋体"/>
                <w:kern w:val="0"/>
                <w:sz w:val="24"/>
                <w:szCs w:val="24"/>
              </w:rPr>
              <w:t>　</w:t>
            </w:r>
          </w:p>
        </w:tc>
        <w:tc>
          <w:tcPr>
            <w:tcW w:w="13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1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2080505</w:t>
            </w:r>
          </w:p>
        </w:tc>
        <w:tc>
          <w:tcPr>
            <w:tcW w:w="4384"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 xml:space="preserve">  机关事业单位基本养老保险缴费支出</w:t>
            </w:r>
          </w:p>
        </w:tc>
        <w:tc>
          <w:tcPr>
            <w:tcW w:w="128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186.00</w:t>
            </w:r>
            <w:r>
              <w:rPr>
                <w:rFonts w:hint="eastAsia" w:ascii="宋体" w:hAnsi="宋体" w:eastAsia="宋体" w:cs="宋体"/>
                <w:kern w:val="0"/>
                <w:sz w:val="24"/>
                <w:szCs w:val="24"/>
              </w:rPr>
              <w:t>　</w:t>
            </w:r>
          </w:p>
        </w:tc>
        <w:tc>
          <w:tcPr>
            <w:tcW w:w="13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186.00</w:t>
            </w:r>
            <w:r>
              <w:rPr>
                <w:rFonts w:hint="eastAsia" w:ascii="宋体" w:hAnsi="宋体" w:eastAsia="宋体" w:cs="宋体"/>
                <w:kern w:val="0"/>
                <w:sz w:val="24"/>
                <w:szCs w:val="24"/>
              </w:rPr>
              <w:t>　</w:t>
            </w:r>
          </w:p>
        </w:tc>
        <w:tc>
          <w:tcPr>
            <w:tcW w:w="13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1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30" w:hRule="atLeast"/>
        </w:trPr>
        <w:tc>
          <w:tcPr>
            <w:tcW w:w="13183"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6"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湖南省文化和旅游厅艺术幼儿园</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1788.20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333.75</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333.75</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1315.04</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1315.04</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186.00</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186.00</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1788.20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1834.79</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1834.79</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336.59</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290.00</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290.00</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336.59</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2124.79</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2124.79</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2124.79</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both"/>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宋体" w:cs="Times New Roman"/>
          <w:color w:val="000000"/>
          <w:kern w:val="0"/>
          <w:sz w:val="20"/>
          <w:szCs w:val="20"/>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ascii="宋体" w:hAnsi="宋体" w:eastAsia="宋体" w:cs="宋体"/>
          <w:color w:val="000000"/>
          <w:kern w:val="0"/>
          <w:sz w:val="20"/>
          <w:szCs w:val="20"/>
        </w:rPr>
        <w:t>湖南省文化和旅游厅艺术幼儿园</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公开05表</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5"/>
        <w:tblW w:w="14219" w:type="dxa"/>
        <w:jc w:val="center"/>
        <w:tblLayout w:type="autofit"/>
        <w:tblCellMar>
          <w:top w:w="0" w:type="dxa"/>
          <w:left w:w="108" w:type="dxa"/>
          <w:bottom w:w="0" w:type="dxa"/>
          <w:right w:w="108" w:type="dxa"/>
        </w:tblCellMar>
      </w:tblPr>
      <w:tblGrid>
        <w:gridCol w:w="1200"/>
        <w:gridCol w:w="4116"/>
        <w:gridCol w:w="2411"/>
        <w:gridCol w:w="3492"/>
        <w:gridCol w:w="3000"/>
      </w:tblGrid>
      <w:tr>
        <w:tblPrEx>
          <w:tblCellMar>
            <w:top w:w="0" w:type="dxa"/>
            <w:left w:w="108" w:type="dxa"/>
            <w:bottom w:w="0" w:type="dxa"/>
            <w:right w:w="108" w:type="dxa"/>
          </w:tblCellMar>
        </w:tblPrEx>
        <w:trPr>
          <w:trHeight w:val="405" w:hRule="atLeast"/>
          <w:jc w:val="center"/>
        </w:trPr>
        <w:tc>
          <w:tcPr>
            <w:tcW w:w="5316"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03"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41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41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1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4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12"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1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4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31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4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31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41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1834.79</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1377.20</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457.59</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rPr>
              <w:t>205</w:t>
            </w:r>
          </w:p>
        </w:tc>
        <w:tc>
          <w:tcPr>
            <w:tcW w:w="411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rPr>
              <w:t>教育支出</w:t>
            </w:r>
          </w:p>
        </w:tc>
        <w:tc>
          <w:tcPr>
            <w:tcW w:w="241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333.75</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333.75</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rPr>
              <w:t>20502</w:t>
            </w:r>
          </w:p>
        </w:tc>
        <w:tc>
          <w:tcPr>
            <w:tcW w:w="411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rPr>
              <w:t>普通教育</w:t>
            </w:r>
          </w:p>
        </w:tc>
        <w:tc>
          <w:tcPr>
            <w:tcW w:w="241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201.00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201.00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2050201</w:t>
            </w:r>
          </w:p>
        </w:tc>
        <w:tc>
          <w:tcPr>
            <w:tcW w:w="411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 xml:space="preserve">  学前教育</w:t>
            </w:r>
          </w:p>
        </w:tc>
        <w:tc>
          <w:tcPr>
            <w:tcW w:w="241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201.00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201.00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rPr>
              <w:t>20599</w:t>
            </w:r>
          </w:p>
        </w:tc>
        <w:tc>
          <w:tcPr>
            <w:tcW w:w="411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rPr>
              <w:t>其他教育支出</w:t>
            </w:r>
          </w:p>
        </w:tc>
        <w:tc>
          <w:tcPr>
            <w:tcW w:w="241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132.75</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132.75</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2059999</w:t>
            </w:r>
          </w:p>
        </w:tc>
        <w:tc>
          <w:tcPr>
            <w:tcW w:w="411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 xml:space="preserve">  其他教育支出</w:t>
            </w:r>
          </w:p>
        </w:tc>
        <w:tc>
          <w:tcPr>
            <w:tcW w:w="241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132.75</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132.75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rPr>
              <w:t>207</w:t>
            </w:r>
          </w:p>
        </w:tc>
        <w:tc>
          <w:tcPr>
            <w:tcW w:w="411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rPr>
              <w:t>文化旅游体育与传媒支出</w:t>
            </w:r>
          </w:p>
        </w:tc>
        <w:tc>
          <w:tcPr>
            <w:tcW w:w="241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1315.04</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1191.20</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123.84</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rPr>
              <w:t>20701</w:t>
            </w:r>
          </w:p>
        </w:tc>
        <w:tc>
          <w:tcPr>
            <w:tcW w:w="4116"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rPr>
              <w:t>文化和旅游</w:t>
            </w:r>
          </w:p>
        </w:tc>
        <w:tc>
          <w:tcPr>
            <w:tcW w:w="2411"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1315.04</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1191.20</w:t>
            </w: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123.84</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2070199</w:t>
            </w:r>
          </w:p>
        </w:tc>
        <w:tc>
          <w:tcPr>
            <w:tcW w:w="4116"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 xml:space="preserve">  其他文化和旅游支出</w:t>
            </w:r>
          </w:p>
        </w:tc>
        <w:tc>
          <w:tcPr>
            <w:tcW w:w="2411"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1315.04</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1191.20</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123.84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cs="Arial" w:asciiTheme="minorEastAsia" w:hAnsiTheme="minorEastAsia" w:eastAsiaTheme="minorEastAsia"/>
                <w:b/>
                <w:bCs/>
                <w:kern w:val="0"/>
                <w:sz w:val="22"/>
                <w:szCs w:val="22"/>
                <w:lang w:val="en-US" w:eastAsia="zh-CN" w:bidi="ar-SA"/>
              </w:rPr>
            </w:pPr>
            <w:r>
              <w:rPr>
                <w:rFonts w:hint="eastAsia" w:cs="Arial" w:asciiTheme="minorEastAsia" w:hAnsiTheme="minorEastAsia"/>
                <w:b/>
                <w:bCs/>
                <w:kern w:val="0"/>
                <w:sz w:val="22"/>
                <w:lang w:val="en-US" w:eastAsia="zh-CN"/>
              </w:rPr>
              <w:t>20799</w:t>
            </w:r>
          </w:p>
        </w:tc>
        <w:tc>
          <w:tcPr>
            <w:tcW w:w="4116" w:type="dxa"/>
            <w:tcBorders>
              <w:top w:val="nil"/>
              <w:left w:val="nil"/>
              <w:bottom w:val="single" w:color="auto" w:sz="8" w:space="0"/>
              <w:right w:val="single" w:color="auto" w:sz="4" w:space="0"/>
            </w:tcBorders>
            <w:shd w:val="clear" w:color="auto" w:fill="auto"/>
            <w:vAlign w:val="center"/>
          </w:tcPr>
          <w:p>
            <w:pPr>
              <w:widowControl/>
              <w:jc w:val="left"/>
              <w:rPr>
                <w:rFonts w:hint="default" w:cs="Arial" w:asciiTheme="minorEastAsia" w:hAnsiTheme="minorEastAsia" w:eastAsiaTheme="minorEastAsia"/>
                <w:b/>
                <w:bCs/>
                <w:kern w:val="0"/>
                <w:sz w:val="22"/>
                <w:szCs w:val="22"/>
                <w:lang w:val="en-US" w:eastAsia="zh-CN" w:bidi="ar-SA"/>
              </w:rPr>
            </w:pPr>
            <w:r>
              <w:rPr>
                <w:rFonts w:hint="eastAsia" w:cs="Arial" w:asciiTheme="minorEastAsia" w:hAnsiTheme="minorEastAsia"/>
                <w:b/>
                <w:bCs/>
                <w:kern w:val="0"/>
                <w:sz w:val="22"/>
                <w:lang w:val="en-US" w:eastAsia="zh-CN"/>
              </w:rPr>
              <w:t>其他文化旅游体育与传媒支出</w:t>
            </w:r>
          </w:p>
        </w:tc>
        <w:tc>
          <w:tcPr>
            <w:tcW w:w="2411"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lang w:val="en-US" w:eastAsia="zh-CN"/>
              </w:rPr>
              <w:t>2079999</w:t>
            </w:r>
          </w:p>
        </w:tc>
        <w:tc>
          <w:tcPr>
            <w:tcW w:w="4116" w:type="dxa"/>
            <w:tcBorders>
              <w:top w:val="nil"/>
              <w:left w:val="nil"/>
              <w:bottom w:val="single" w:color="auto" w:sz="8" w:space="0"/>
              <w:right w:val="single" w:color="auto" w:sz="4" w:space="0"/>
            </w:tcBorders>
            <w:shd w:val="clear" w:color="auto" w:fill="auto"/>
            <w:vAlign w:val="center"/>
          </w:tcPr>
          <w:p>
            <w:pPr>
              <w:widowControl/>
              <w:jc w:val="left"/>
              <w:rPr>
                <w:rFonts w:hint="default"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lang w:val="en-US" w:eastAsia="zh-CN"/>
              </w:rPr>
              <w:t xml:space="preserve">  其他文化旅游体育与传媒支出</w:t>
            </w:r>
          </w:p>
        </w:tc>
        <w:tc>
          <w:tcPr>
            <w:tcW w:w="2411"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eastAsia" w:cs="Arial" w:asciiTheme="minorEastAsia" w:hAnsiTheme="minorEastAsia" w:eastAsiaTheme="minorEastAsia"/>
                <w:b/>
                <w:bCs w:val="0"/>
                <w:kern w:val="0"/>
                <w:sz w:val="22"/>
                <w:szCs w:val="22"/>
                <w:lang w:val="en-US" w:eastAsia="zh-CN" w:bidi="ar-SA"/>
              </w:rPr>
            </w:pPr>
            <w:r>
              <w:rPr>
                <w:rFonts w:hint="eastAsia" w:cs="Arial" w:asciiTheme="minorEastAsia" w:hAnsiTheme="minorEastAsia"/>
                <w:b/>
                <w:bCs w:val="0"/>
                <w:kern w:val="0"/>
                <w:sz w:val="22"/>
              </w:rPr>
              <w:t>208</w:t>
            </w:r>
          </w:p>
        </w:tc>
        <w:tc>
          <w:tcPr>
            <w:tcW w:w="4116" w:type="dxa"/>
            <w:tcBorders>
              <w:top w:val="nil"/>
              <w:left w:val="nil"/>
              <w:bottom w:val="single" w:color="auto" w:sz="8" w:space="0"/>
              <w:right w:val="single" w:color="auto" w:sz="4" w:space="0"/>
            </w:tcBorders>
            <w:shd w:val="clear" w:color="auto" w:fill="auto"/>
            <w:vAlign w:val="center"/>
          </w:tcPr>
          <w:p>
            <w:pPr>
              <w:widowControl/>
              <w:jc w:val="left"/>
              <w:rPr>
                <w:rFonts w:hint="eastAsia" w:cs="Arial" w:asciiTheme="minorEastAsia" w:hAnsiTheme="minorEastAsia" w:eastAsiaTheme="minorEastAsia"/>
                <w:b/>
                <w:bCs w:val="0"/>
                <w:kern w:val="0"/>
                <w:sz w:val="22"/>
                <w:szCs w:val="22"/>
                <w:lang w:val="en-US" w:eastAsia="zh-CN" w:bidi="ar-SA"/>
              </w:rPr>
            </w:pPr>
            <w:r>
              <w:rPr>
                <w:rFonts w:hint="eastAsia" w:cs="Arial" w:asciiTheme="minorEastAsia" w:hAnsiTheme="minorEastAsia"/>
                <w:b/>
                <w:bCs w:val="0"/>
                <w:kern w:val="0"/>
                <w:sz w:val="22"/>
              </w:rPr>
              <w:t>社会保障和就业支出</w:t>
            </w:r>
          </w:p>
        </w:tc>
        <w:tc>
          <w:tcPr>
            <w:tcW w:w="2411"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186.00</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186.00</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eastAsia" w:cs="Arial" w:asciiTheme="minorEastAsia" w:hAnsiTheme="minorEastAsia" w:eastAsiaTheme="minorEastAsia"/>
                <w:b/>
                <w:bCs w:val="0"/>
                <w:kern w:val="0"/>
                <w:sz w:val="22"/>
                <w:szCs w:val="22"/>
                <w:lang w:val="en-US" w:eastAsia="zh-CN" w:bidi="ar-SA"/>
              </w:rPr>
            </w:pPr>
            <w:r>
              <w:rPr>
                <w:rFonts w:hint="eastAsia" w:cs="Arial" w:asciiTheme="minorEastAsia" w:hAnsiTheme="minorEastAsia"/>
                <w:b/>
                <w:bCs w:val="0"/>
                <w:kern w:val="0"/>
                <w:sz w:val="22"/>
              </w:rPr>
              <w:t>20805</w:t>
            </w:r>
          </w:p>
        </w:tc>
        <w:tc>
          <w:tcPr>
            <w:tcW w:w="4116" w:type="dxa"/>
            <w:tcBorders>
              <w:top w:val="nil"/>
              <w:left w:val="nil"/>
              <w:bottom w:val="single" w:color="auto" w:sz="8" w:space="0"/>
              <w:right w:val="single" w:color="auto" w:sz="4" w:space="0"/>
            </w:tcBorders>
            <w:shd w:val="clear" w:color="auto" w:fill="auto"/>
            <w:vAlign w:val="center"/>
          </w:tcPr>
          <w:p>
            <w:pPr>
              <w:widowControl/>
              <w:jc w:val="left"/>
              <w:rPr>
                <w:rFonts w:hint="eastAsia" w:cs="Arial" w:asciiTheme="minorEastAsia" w:hAnsiTheme="minorEastAsia" w:eastAsiaTheme="minorEastAsia"/>
                <w:b/>
                <w:bCs w:val="0"/>
                <w:kern w:val="0"/>
                <w:sz w:val="22"/>
                <w:szCs w:val="22"/>
                <w:lang w:val="en-US" w:eastAsia="zh-CN" w:bidi="ar-SA"/>
              </w:rPr>
            </w:pPr>
            <w:r>
              <w:rPr>
                <w:rFonts w:hint="eastAsia" w:cs="Arial" w:asciiTheme="minorEastAsia" w:hAnsiTheme="minorEastAsia"/>
                <w:b/>
                <w:bCs w:val="0"/>
                <w:kern w:val="0"/>
                <w:sz w:val="22"/>
              </w:rPr>
              <w:t>行政事业单位养老支出</w:t>
            </w:r>
          </w:p>
        </w:tc>
        <w:tc>
          <w:tcPr>
            <w:tcW w:w="2411"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186.00</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186.00</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eastAsia"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2080505</w:t>
            </w:r>
          </w:p>
        </w:tc>
        <w:tc>
          <w:tcPr>
            <w:tcW w:w="4116" w:type="dxa"/>
            <w:tcBorders>
              <w:top w:val="nil"/>
              <w:left w:val="nil"/>
              <w:bottom w:val="single" w:color="auto" w:sz="8" w:space="0"/>
              <w:right w:val="single" w:color="auto" w:sz="4" w:space="0"/>
            </w:tcBorders>
            <w:shd w:val="clear" w:color="auto" w:fill="auto"/>
            <w:vAlign w:val="center"/>
          </w:tcPr>
          <w:p>
            <w:pPr>
              <w:widowControl/>
              <w:jc w:val="left"/>
              <w:rPr>
                <w:rFonts w:hint="eastAsia" w:cs="Arial" w:asciiTheme="minorEastAsia" w:hAnsiTheme="minorEastAsia" w:eastAsiaTheme="minorEastAsia"/>
                <w:kern w:val="0"/>
                <w:sz w:val="22"/>
                <w:szCs w:val="22"/>
                <w:lang w:val="en-US" w:eastAsia="zh-CN" w:bidi="ar-SA"/>
              </w:rPr>
            </w:pPr>
            <w:r>
              <w:rPr>
                <w:rFonts w:hint="eastAsia" w:cs="Arial" w:asciiTheme="minorEastAsia" w:hAnsiTheme="minorEastAsia"/>
                <w:kern w:val="0"/>
                <w:sz w:val="22"/>
              </w:rPr>
              <w:t xml:space="preserve">  机关事业单位基本养老保险缴费支出</w:t>
            </w:r>
          </w:p>
        </w:tc>
        <w:tc>
          <w:tcPr>
            <w:tcW w:w="2411"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186.00</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186.00</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tbl>
      <w:tblPr>
        <w:tblStyle w:val="5"/>
        <w:tblW w:w="0" w:type="auto"/>
        <w:tblInd w:w="0" w:type="dxa"/>
        <w:tblLayout w:type="autofit"/>
        <w:tblCellMar>
          <w:top w:w="0" w:type="dxa"/>
          <w:left w:w="108" w:type="dxa"/>
          <w:bottom w:w="0" w:type="dxa"/>
          <w:right w:w="108" w:type="dxa"/>
        </w:tblCellMar>
      </w:tblPr>
      <w:tblGrid>
        <w:gridCol w:w="1338"/>
        <w:gridCol w:w="3366"/>
        <w:gridCol w:w="1161"/>
        <w:gridCol w:w="851"/>
        <w:gridCol w:w="2316"/>
        <w:gridCol w:w="679"/>
        <w:gridCol w:w="851"/>
        <w:gridCol w:w="4206"/>
        <w:gridCol w:w="846"/>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both"/>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ascii="宋体" w:hAnsi="宋体" w:eastAsia="宋体" w:cs="宋体"/>
                <w:color w:val="000000"/>
                <w:kern w:val="0"/>
                <w:sz w:val="20"/>
                <w:szCs w:val="20"/>
              </w:rPr>
              <w:t>湖南省文化和旅游厅艺术幼儿园</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 xml:space="preserve"> 公开06表</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1377.20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293.34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30.14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360.50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226.69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62.50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9.32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161.00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232.39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1377.20</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rPr>
              <w:t>　</w:t>
            </w:r>
            <w:r>
              <w:rPr>
                <w:rFonts w:hint="eastAsia" w:ascii="宋体" w:hAnsi="宋体" w:eastAsia="宋体" w:cs="宋体"/>
                <w:color w:val="000000"/>
                <w:kern w:val="0"/>
                <w:szCs w:val="18"/>
                <w:lang w:val="en-US" w:eastAsia="zh-CN"/>
              </w:rPr>
              <w:t>0.00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ascii="宋体" w:hAnsi="宋体" w:eastAsia="宋体" w:cs="宋体"/>
          <w:color w:val="000000"/>
          <w:kern w:val="0"/>
          <w:sz w:val="20"/>
          <w:szCs w:val="20"/>
        </w:rPr>
        <w:t>湖南省文化和旅游厅艺术幼儿园</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nil"/>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420" w:firstLineChars="20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ascii="宋体" w:hAnsi="宋体" w:eastAsia="宋体" w:cs="宋体"/>
          <w:color w:val="000000"/>
          <w:kern w:val="0"/>
          <w:sz w:val="20"/>
          <w:szCs w:val="20"/>
        </w:rPr>
        <w:t>湖南省文化和旅游厅艺术幼儿园</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,请说明：湖南省文化和旅游厅艺术幼儿园没有政府性基金收入，也没有使用政府性基金安排的支出，故本表无数据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ascii="宋体" w:hAnsi="宋体" w:eastAsia="宋体" w:cs="宋体"/>
                <w:color w:val="000000"/>
                <w:kern w:val="0"/>
                <w:sz w:val="20"/>
                <w:szCs w:val="20"/>
              </w:rPr>
              <w:t>湖南省文化和旅游厅艺术幼儿园</w:t>
            </w:r>
            <w:r>
              <w:rPr>
                <w:rFonts w:ascii="Times New Roman" w:hAnsi="Times New Roman" w:eastAsia="仿宋_GB2312" w:cs="Times New Roman"/>
                <w:color w:val="000000"/>
                <w:kern w:val="0"/>
                <w:szCs w:val="21"/>
              </w:rPr>
              <w:t xml:space="preserve"> </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湖南省文化和旅游厅艺术幼儿园没有国有资本经营的情况，故本表无数据。</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年度收入总额</w:t>
      </w:r>
      <w:r>
        <w:rPr>
          <w:rFonts w:hint="eastAsia" w:asciiTheme="minorEastAsia" w:hAnsiTheme="minorEastAsia" w:eastAsiaTheme="minorEastAsia"/>
          <w:sz w:val="32"/>
          <w:szCs w:val="32"/>
          <w:lang w:val="en-US" w:eastAsia="zh-CN"/>
        </w:rPr>
        <w:t>2758.30</w:t>
      </w:r>
      <w:r>
        <w:rPr>
          <w:rFonts w:hint="eastAsia" w:asciiTheme="minorEastAsia" w:hAnsiTheme="minorEastAsia" w:eastAsiaTheme="minorEastAsia"/>
          <w:sz w:val="32"/>
          <w:szCs w:val="32"/>
        </w:rPr>
        <w:t>万元，与上年度</w:t>
      </w:r>
      <w:r>
        <w:rPr>
          <w:rFonts w:hint="eastAsia" w:asciiTheme="minorEastAsia" w:hAnsiTheme="minorEastAsia" w:eastAsiaTheme="minorEastAsia"/>
          <w:sz w:val="32"/>
          <w:szCs w:val="32"/>
          <w:lang w:val="en-US" w:eastAsia="zh-CN"/>
        </w:rPr>
        <w:t>2533.90</w:t>
      </w:r>
      <w:r>
        <w:rPr>
          <w:rFonts w:hint="eastAsia" w:asciiTheme="minorEastAsia" w:hAnsiTheme="minorEastAsia" w:eastAsiaTheme="minorEastAsia"/>
          <w:sz w:val="32"/>
          <w:szCs w:val="32"/>
        </w:rPr>
        <w:t>万元相比较</w:t>
      </w:r>
      <w:r>
        <w:rPr>
          <w:rFonts w:hint="eastAsia" w:asciiTheme="minorEastAsia" w:hAnsiTheme="minorEastAsia" w:eastAsiaTheme="minorEastAsia"/>
          <w:sz w:val="32"/>
          <w:szCs w:val="32"/>
          <w:lang w:val="en-US" w:eastAsia="zh-CN"/>
        </w:rPr>
        <w:t>增加</w:t>
      </w:r>
      <w:r>
        <w:rPr>
          <w:rFonts w:hint="eastAsia" w:asciiTheme="minorEastAsia" w:hAnsiTheme="minorEastAsia" w:eastAsiaTheme="minorEastAsia"/>
          <w:sz w:val="32"/>
          <w:szCs w:val="32"/>
        </w:rPr>
        <w:t>了</w:t>
      </w:r>
      <w:r>
        <w:rPr>
          <w:rFonts w:hint="eastAsia" w:asciiTheme="minorEastAsia" w:hAnsiTheme="minorEastAsia" w:eastAsiaTheme="minorEastAsia"/>
          <w:sz w:val="32"/>
          <w:szCs w:val="32"/>
          <w:lang w:val="en-US" w:eastAsia="zh-CN"/>
        </w:rPr>
        <w:t>224.40</w:t>
      </w:r>
      <w:r>
        <w:rPr>
          <w:rFonts w:hint="eastAsia" w:asciiTheme="minorEastAsia" w:hAnsiTheme="minorEastAsia" w:eastAsiaTheme="minorEastAsia"/>
          <w:sz w:val="32"/>
          <w:szCs w:val="32"/>
        </w:rPr>
        <w:t>万元；支出总额</w:t>
      </w:r>
      <w:r>
        <w:rPr>
          <w:rFonts w:hint="eastAsia" w:asciiTheme="minorEastAsia" w:hAnsiTheme="minorEastAsia" w:eastAsiaTheme="minorEastAsia"/>
          <w:sz w:val="32"/>
          <w:szCs w:val="32"/>
          <w:lang w:val="en-US" w:eastAsia="zh-CN"/>
        </w:rPr>
        <w:t>2568.56</w:t>
      </w:r>
      <w:r>
        <w:rPr>
          <w:rFonts w:hint="eastAsia" w:asciiTheme="minorEastAsia" w:hAnsiTheme="minorEastAsia" w:eastAsiaTheme="minorEastAsia"/>
          <w:sz w:val="32"/>
          <w:szCs w:val="32"/>
        </w:rPr>
        <w:t>万元，与上年度2417.5</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万元相比较</w:t>
      </w:r>
      <w:r>
        <w:rPr>
          <w:rFonts w:hint="eastAsia" w:asciiTheme="minorEastAsia" w:hAnsiTheme="minorEastAsia" w:eastAsiaTheme="minorEastAsia"/>
          <w:sz w:val="32"/>
          <w:szCs w:val="32"/>
          <w:lang w:val="en-US" w:eastAsia="zh-CN"/>
        </w:rPr>
        <w:t>增加</w:t>
      </w:r>
      <w:r>
        <w:rPr>
          <w:rFonts w:hint="eastAsia" w:asciiTheme="minorEastAsia" w:hAnsiTheme="minorEastAsia" w:eastAsiaTheme="minorEastAsia"/>
          <w:sz w:val="32"/>
          <w:szCs w:val="32"/>
        </w:rPr>
        <w:t>了</w:t>
      </w:r>
      <w:r>
        <w:rPr>
          <w:rFonts w:hint="eastAsia" w:asciiTheme="minorEastAsia" w:hAnsiTheme="minorEastAsia" w:eastAsiaTheme="minorEastAsia"/>
          <w:sz w:val="32"/>
          <w:szCs w:val="32"/>
          <w:lang w:val="en-US" w:eastAsia="zh-CN"/>
        </w:rPr>
        <w:t>151.06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highlight w:val="none"/>
        </w:rPr>
        <w:t>因疫情</w:t>
      </w:r>
      <w:r>
        <w:rPr>
          <w:rFonts w:hint="eastAsia" w:asciiTheme="minorEastAsia" w:hAnsiTheme="minorEastAsia" w:eastAsiaTheme="minorEastAsia"/>
          <w:sz w:val="32"/>
          <w:szCs w:val="32"/>
          <w:highlight w:val="none"/>
          <w:lang w:val="en-US" w:eastAsia="zh-CN"/>
        </w:rPr>
        <w:t>转入常态化防控阶段，幼儿教育教学与保健保育逐步恢复正常</w:t>
      </w:r>
      <w:r>
        <w:rPr>
          <w:rFonts w:hint="eastAsia" w:asciiTheme="minorEastAsia" w:hAnsiTheme="minorEastAsia" w:eastAsiaTheme="minorEastAsia"/>
          <w:sz w:val="32"/>
          <w:szCs w:val="32"/>
          <w:highlight w:val="none"/>
        </w:rPr>
        <w:t>。</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2758.30</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1788.20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64.83</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837.61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30.37</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132.49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4.80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2568.56</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2110.97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82.18</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457.59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17.82</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年度财政拨款收入</w:t>
      </w:r>
      <w:r>
        <w:rPr>
          <w:rFonts w:hint="eastAsia" w:asciiTheme="minorEastAsia" w:hAnsiTheme="minorEastAsia" w:eastAsiaTheme="minorEastAsia"/>
          <w:sz w:val="32"/>
          <w:szCs w:val="32"/>
          <w:lang w:val="en-US" w:eastAsia="zh-CN"/>
        </w:rPr>
        <w:t>1788.20</w:t>
      </w:r>
      <w:r>
        <w:rPr>
          <w:rFonts w:hint="eastAsia" w:asciiTheme="minorEastAsia" w:hAnsiTheme="minorEastAsia" w:eastAsiaTheme="minorEastAsia"/>
          <w:sz w:val="32"/>
          <w:szCs w:val="32"/>
        </w:rPr>
        <w:t>万元，与上年1894.4</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万元相比较减少了</w:t>
      </w:r>
      <w:r>
        <w:rPr>
          <w:rFonts w:hint="eastAsia" w:asciiTheme="minorEastAsia" w:hAnsiTheme="minorEastAsia" w:eastAsiaTheme="minorEastAsia"/>
          <w:sz w:val="32"/>
          <w:szCs w:val="32"/>
          <w:lang w:val="en-US" w:eastAsia="zh-CN"/>
        </w:rPr>
        <w:t>106.20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减少了抗疫资金以及学前教育经费拨款。</w:t>
      </w:r>
      <w:r>
        <w:rPr>
          <w:rFonts w:hint="eastAsia" w:asciiTheme="minorEastAsia" w:hAnsiTheme="minorEastAsia" w:eastAsiaTheme="minorEastAsia"/>
          <w:sz w:val="32"/>
          <w:szCs w:val="32"/>
        </w:rPr>
        <w:t>财政拨款支出总计</w:t>
      </w:r>
      <w:r>
        <w:rPr>
          <w:rFonts w:hint="eastAsia" w:asciiTheme="minorEastAsia" w:hAnsiTheme="minorEastAsia" w:eastAsiaTheme="minorEastAsia"/>
          <w:sz w:val="32"/>
          <w:szCs w:val="32"/>
          <w:lang w:val="en-US" w:eastAsia="zh-CN"/>
        </w:rPr>
        <w:t>1834.79</w:t>
      </w:r>
      <w:r>
        <w:rPr>
          <w:rFonts w:hint="eastAsia" w:asciiTheme="minorEastAsia" w:hAnsiTheme="minorEastAsia" w:eastAsiaTheme="minorEastAsia"/>
          <w:sz w:val="32"/>
          <w:szCs w:val="32"/>
        </w:rPr>
        <w:t>万元，与上年1839.26万元相比较减少了</w:t>
      </w:r>
      <w:r>
        <w:rPr>
          <w:rFonts w:hint="eastAsia" w:asciiTheme="minorEastAsia" w:hAnsiTheme="minorEastAsia" w:eastAsiaTheme="minorEastAsia"/>
          <w:sz w:val="32"/>
          <w:szCs w:val="32"/>
          <w:lang w:val="en-US" w:eastAsia="zh-CN"/>
        </w:rPr>
        <w:t>4.47</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eastAsia" w:asciiTheme="minorEastAsia" w:hAnsiTheme="minorEastAsia" w:eastAsiaTheme="minorEastAsia"/>
          <w:sz w:val="32"/>
          <w:szCs w:val="32"/>
          <w:highlight w:val="yellow"/>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1834.79</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71.43</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4.47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0.24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bookmarkStart w:id="3" w:name="_GoBack"/>
      <w:bookmarkEnd w:id="3"/>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2021年度财政拨款支出</w:t>
      </w:r>
      <w:r>
        <w:rPr>
          <w:rFonts w:hint="eastAsia" w:asciiTheme="minorEastAsia" w:hAnsiTheme="minorEastAsia" w:eastAsiaTheme="minorEastAsia"/>
          <w:sz w:val="32"/>
          <w:szCs w:val="32"/>
          <w:highlight w:val="none"/>
          <w:lang w:val="en-US" w:eastAsia="zh-CN"/>
        </w:rPr>
        <w:t>1834.79</w:t>
      </w:r>
      <w:r>
        <w:rPr>
          <w:rFonts w:hint="eastAsia" w:asciiTheme="minorEastAsia" w:hAnsiTheme="minorEastAsia" w:eastAsiaTheme="minorEastAsia"/>
          <w:sz w:val="32"/>
          <w:szCs w:val="32"/>
          <w:highlight w:val="none"/>
        </w:rPr>
        <w:t>万元，主要用于以下方面：教育支出</w:t>
      </w:r>
      <w:r>
        <w:rPr>
          <w:rFonts w:hint="eastAsia" w:asciiTheme="minorEastAsia" w:hAnsiTheme="minorEastAsia" w:eastAsiaTheme="minorEastAsia"/>
          <w:sz w:val="32"/>
          <w:szCs w:val="32"/>
          <w:highlight w:val="none"/>
          <w:lang w:val="en-US" w:eastAsia="zh-CN"/>
        </w:rPr>
        <w:t>333.75</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18.19</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lang w:val="en-US" w:eastAsia="zh-CN"/>
        </w:rPr>
        <w:t>文化旅游体育与传媒支出1315.04万元，占71.67%；社会保障和就业支出186.00万元，占10.14%</w:t>
      </w:r>
      <w:r>
        <w:rPr>
          <w:rFonts w:hint="eastAsia" w:asciiTheme="minorEastAsia" w:hAnsiTheme="minorEastAsia" w:eastAsiaTheme="minorEastAsia"/>
          <w:sz w:val="32"/>
          <w:szCs w:val="32"/>
          <w:highlight w:val="none"/>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1414.53</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1834.79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129.71</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rPr>
        <w:t>1、教育支出（类）普通教育（款）学前教育（项）支出</w:t>
      </w:r>
      <w:r>
        <w:rPr>
          <w:rFonts w:hint="eastAsia" w:asciiTheme="minorEastAsia" w:hAnsiTheme="minorEastAsia" w:eastAsiaTheme="minorEastAsia"/>
          <w:sz w:val="32"/>
          <w:szCs w:val="32"/>
          <w:lang w:val="en-US" w:eastAsia="zh-CN"/>
        </w:rPr>
        <w:t>201</w:t>
      </w:r>
      <w:r>
        <w:rPr>
          <w:rFonts w:hint="eastAsia" w:asciiTheme="minorEastAsia" w:hAnsiTheme="minorEastAsia" w:eastAsiaTheme="minorEastAsia"/>
          <w:sz w:val="32"/>
          <w:szCs w:val="32"/>
        </w:rPr>
        <w:t>万元，年初预算为0万元，支出决算为</w:t>
      </w:r>
      <w:r>
        <w:rPr>
          <w:rFonts w:hint="eastAsia" w:asciiTheme="minorEastAsia" w:hAnsiTheme="minorEastAsia" w:eastAsiaTheme="minorEastAsia"/>
          <w:sz w:val="32"/>
          <w:szCs w:val="32"/>
          <w:lang w:val="en-US" w:eastAsia="zh-CN"/>
        </w:rPr>
        <w:t>201</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highlight w:val="none"/>
        </w:rPr>
        <w:t>为</w:t>
      </w:r>
      <w:r>
        <w:rPr>
          <w:rFonts w:hint="eastAsia" w:asciiTheme="minorEastAsia" w:hAnsiTheme="minorEastAsia" w:eastAsiaTheme="minorEastAsia"/>
          <w:sz w:val="32"/>
          <w:szCs w:val="32"/>
          <w:highlight w:val="none"/>
          <w:lang w:val="en-US" w:eastAsia="zh-CN"/>
        </w:rPr>
        <w:t>2020年结余经费及2021</w:t>
      </w:r>
      <w:r>
        <w:rPr>
          <w:rFonts w:hint="eastAsia" w:asciiTheme="minorEastAsia" w:hAnsiTheme="minorEastAsia" w:eastAsiaTheme="minorEastAsia"/>
          <w:sz w:val="32"/>
          <w:szCs w:val="32"/>
          <w:highlight w:val="none"/>
        </w:rPr>
        <w:t>年中追加的</w:t>
      </w:r>
      <w:r>
        <w:rPr>
          <w:rFonts w:hint="eastAsia" w:asciiTheme="minorEastAsia" w:hAnsiTheme="minorEastAsia" w:eastAsiaTheme="minorEastAsia"/>
          <w:sz w:val="32"/>
          <w:szCs w:val="32"/>
          <w:highlight w:val="none"/>
          <w:lang w:val="en-US" w:eastAsia="zh-CN"/>
        </w:rPr>
        <w:t>学前教育</w:t>
      </w:r>
      <w:r>
        <w:rPr>
          <w:rFonts w:hint="eastAsia" w:asciiTheme="minorEastAsia" w:hAnsiTheme="minorEastAsia" w:eastAsiaTheme="minorEastAsia"/>
          <w:sz w:val="32"/>
          <w:szCs w:val="32"/>
          <w:highlight w:val="none"/>
        </w:rPr>
        <w:t>生均公用经费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lang w:val="en-US" w:eastAsia="zh-CN"/>
        </w:rPr>
        <w:t>教育综合发展专项及基础教育发展专项</w:t>
      </w:r>
      <w:r>
        <w:rPr>
          <w:rFonts w:hint="eastAsia" w:asciiTheme="minorEastAsia" w:hAnsiTheme="minorEastAsia" w:eastAsiaTheme="minorEastAsia"/>
          <w:sz w:val="32"/>
          <w:szCs w:val="32"/>
          <w:highlight w:val="none"/>
        </w:rPr>
        <w:t>。</w:t>
      </w:r>
    </w:p>
    <w:p>
      <w:pPr>
        <w:pStyle w:val="9"/>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2、教育支出（类）其他教育支出（款）其他教育支出（项）支出</w:t>
      </w:r>
      <w:r>
        <w:rPr>
          <w:rFonts w:hint="eastAsia" w:asciiTheme="minorEastAsia" w:hAnsiTheme="minorEastAsia" w:eastAsiaTheme="minorEastAsia"/>
          <w:sz w:val="32"/>
          <w:szCs w:val="32"/>
          <w:highlight w:val="none"/>
          <w:lang w:val="en-US" w:eastAsia="zh-CN"/>
        </w:rPr>
        <w:t>132.75</w:t>
      </w:r>
      <w:r>
        <w:rPr>
          <w:rFonts w:hint="eastAsia" w:asciiTheme="minorEastAsia" w:hAnsiTheme="minorEastAsia" w:eastAsiaTheme="minorEastAsia"/>
          <w:sz w:val="32"/>
          <w:szCs w:val="32"/>
          <w:highlight w:val="none"/>
        </w:rPr>
        <w:t>万元，年初预算为0万元，支出决算为</w:t>
      </w:r>
      <w:r>
        <w:rPr>
          <w:rFonts w:hint="eastAsia" w:asciiTheme="minorEastAsia" w:hAnsiTheme="minorEastAsia" w:eastAsiaTheme="minorEastAsia"/>
          <w:sz w:val="32"/>
          <w:szCs w:val="32"/>
          <w:highlight w:val="none"/>
          <w:lang w:val="en-US" w:eastAsia="zh-CN"/>
        </w:rPr>
        <w:t>132.75</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val="en-US" w:eastAsia="zh-CN"/>
        </w:rPr>
        <w:t>结余2020年教育现代化推进工程第一批中央预算内基建投资预算经费</w:t>
      </w:r>
      <w:r>
        <w:rPr>
          <w:rFonts w:hint="eastAsia" w:asciiTheme="minorEastAsia" w:hAnsiTheme="minorEastAsia" w:eastAsiaTheme="minorEastAsia"/>
          <w:sz w:val="32"/>
          <w:szCs w:val="32"/>
          <w:highlight w:val="none"/>
        </w:rPr>
        <w:t>。</w:t>
      </w:r>
    </w:p>
    <w:p>
      <w:pPr>
        <w:pStyle w:val="9"/>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3、文化旅游体育与传媒支出（类）文化和旅游（款）其他文化和旅游支出（项）支出</w:t>
      </w:r>
      <w:r>
        <w:rPr>
          <w:rFonts w:hint="eastAsia" w:asciiTheme="minorEastAsia" w:hAnsiTheme="minorEastAsia" w:eastAsiaTheme="minorEastAsia"/>
          <w:sz w:val="32"/>
          <w:szCs w:val="32"/>
          <w:highlight w:val="none"/>
          <w:lang w:val="en-US" w:eastAsia="zh-CN"/>
        </w:rPr>
        <w:t>1315.04</w:t>
      </w:r>
      <w:r>
        <w:rPr>
          <w:rFonts w:hint="eastAsia" w:asciiTheme="minorEastAsia" w:hAnsiTheme="minorEastAsia" w:eastAsiaTheme="minorEastAsia"/>
          <w:sz w:val="32"/>
          <w:szCs w:val="32"/>
          <w:highlight w:val="none"/>
        </w:rPr>
        <w:t>万元，年初预算数</w:t>
      </w:r>
      <w:r>
        <w:rPr>
          <w:rFonts w:hint="eastAsia" w:asciiTheme="minorEastAsia" w:hAnsiTheme="minorEastAsia" w:eastAsiaTheme="minorEastAsia"/>
          <w:sz w:val="32"/>
          <w:szCs w:val="32"/>
          <w:highlight w:val="none"/>
          <w:lang w:val="en-US" w:eastAsia="zh-CN"/>
        </w:rPr>
        <w:t>1228.53</w:t>
      </w:r>
      <w:r>
        <w:rPr>
          <w:rFonts w:hint="eastAsia" w:asciiTheme="minorEastAsia" w:hAnsiTheme="minorEastAsia" w:eastAsiaTheme="minorEastAsia"/>
          <w:sz w:val="32"/>
          <w:szCs w:val="32"/>
          <w:highlight w:val="none"/>
        </w:rPr>
        <w:t>万元，支出决算数大于年初预算数主要原因是：</w:t>
      </w:r>
      <w:r>
        <w:rPr>
          <w:rFonts w:hint="eastAsia" w:asciiTheme="minorEastAsia" w:hAnsiTheme="minorEastAsia" w:eastAsiaTheme="minorEastAsia"/>
          <w:sz w:val="32"/>
          <w:szCs w:val="32"/>
          <w:highlight w:val="none"/>
          <w:lang w:val="en-US" w:eastAsia="zh-CN"/>
        </w:rPr>
        <w:t>结转2020年文化旅游体育和传媒支出经费62.72万元及文化综合发展专项经费61.12万元，</w:t>
      </w:r>
      <w:r>
        <w:rPr>
          <w:rFonts w:hint="eastAsia" w:asciiTheme="minorEastAsia" w:hAnsiTheme="minorEastAsia" w:eastAsiaTheme="minorEastAsia"/>
          <w:sz w:val="32"/>
          <w:szCs w:val="32"/>
          <w:highlight w:val="none"/>
        </w:rPr>
        <w:t>本年</w:t>
      </w:r>
      <w:r>
        <w:rPr>
          <w:rFonts w:hint="eastAsia" w:asciiTheme="minorEastAsia" w:hAnsiTheme="minorEastAsia" w:eastAsiaTheme="minorEastAsia"/>
          <w:sz w:val="32"/>
          <w:szCs w:val="32"/>
          <w:highlight w:val="none"/>
          <w:lang w:val="en-US" w:eastAsia="zh-CN"/>
        </w:rPr>
        <w:t>住房公积金指标下达数调减37.33万元（上年度学费因为疫情短收）</w:t>
      </w:r>
      <w:r>
        <w:rPr>
          <w:rFonts w:hint="eastAsia" w:asciiTheme="minorEastAsia" w:hAnsiTheme="minorEastAsia" w:eastAsiaTheme="minorEastAsia"/>
          <w:sz w:val="32"/>
          <w:szCs w:val="32"/>
          <w:highlight w:val="none"/>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highlight w:val="none"/>
          <w:lang w:val="en-US" w:eastAsia="zh-CN"/>
        </w:rPr>
        <w:t>4</w:t>
      </w:r>
      <w:r>
        <w:rPr>
          <w:rFonts w:hint="eastAsia" w:asciiTheme="minorEastAsia" w:hAnsiTheme="minorEastAsia" w:eastAsiaTheme="minorEastAsia"/>
          <w:sz w:val="32"/>
          <w:szCs w:val="32"/>
          <w:highlight w:val="none"/>
        </w:rPr>
        <w:t>、社会保障和就业支出（类）行政事业单位养老支出（款）机关事业单位基本养老保险费支出（项）</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186</w:t>
      </w:r>
      <w:r>
        <w:rPr>
          <w:rFonts w:hint="eastAsia" w:asciiTheme="minorEastAsia" w:hAnsiTheme="minorEastAsia" w:eastAsiaTheme="minorEastAsia"/>
          <w:sz w:val="32"/>
          <w:szCs w:val="32"/>
        </w:rPr>
        <w:t>万元，年初预算</w:t>
      </w:r>
      <w:r>
        <w:rPr>
          <w:rFonts w:hint="eastAsia" w:asciiTheme="minorEastAsia" w:hAnsiTheme="minorEastAsia" w:eastAsiaTheme="minorEastAsia"/>
          <w:sz w:val="32"/>
          <w:szCs w:val="32"/>
          <w:lang w:val="en-US" w:eastAsia="zh-CN"/>
        </w:rPr>
        <w:t>186</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1377.2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1377.2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%,主要包括基本工资、津贴补贴、奖金、绩效工资、养老保险、职业年金、医疗保险、其他保险、住房公积金、其他工资福利支出（外聘人员工资）、退休费。</w:t>
      </w:r>
    </w:p>
    <w:p>
      <w:pPr>
        <w:pStyle w:val="9"/>
        <w:ind w:firstLine="640" w:firstLineChars="200"/>
        <w:rPr>
          <w:rFonts w:hint="eastAsia" w:asciiTheme="minorEastAsia" w:hAnsiTheme="minorEastAsia" w:eastAsiaTheme="minorEastAsia"/>
          <w:i/>
          <w:color w:val="FF0000"/>
          <w:sz w:val="32"/>
          <w:szCs w:val="32"/>
          <w:lang w:eastAsia="zh-CN"/>
        </w:rPr>
      </w:pP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3、公务用车购置费及运行维护费支出决算为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万元，其中：公务用车购置费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湖南省文化和旅游厅艺术幼儿园本部及两所分园（湖南省文化和旅游厅艺术幼儿园梅溪湖分园、湖南省文化和旅游厅艺术幼儿园天心分园）更</w:t>
      </w:r>
      <w:r>
        <w:rPr>
          <w:rFonts w:hint="eastAsia" w:asciiTheme="minorEastAsia" w:hAnsiTheme="minorEastAsia" w:eastAsiaTheme="minorEastAsia"/>
          <w:sz w:val="32"/>
          <w:szCs w:val="32"/>
        </w:rPr>
        <w:t>新公务用车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辆。公务用车运行维护费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万元，截止2021年12月31日，我单位开支财政拨款的公务用车保有量为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w:t>
      </w:r>
    </w:p>
    <w:p>
      <w:pPr>
        <w:pStyle w:val="9"/>
        <w:rPr>
          <w:rFonts w:hint="eastAsia" w:hAnsi="黑体"/>
          <w:b/>
          <w:sz w:val="32"/>
          <w:szCs w:val="32"/>
        </w:rPr>
      </w:pPr>
      <w:r>
        <w:rPr>
          <w:rFonts w:hint="eastAsia" w:hAnsi="黑体"/>
          <w:b/>
          <w:sz w:val="32"/>
          <w:szCs w:val="32"/>
        </w:rPr>
        <w:t>八、政府性基金预算收入支出决算情况</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本单位无政府性基金收支。</w:t>
      </w:r>
    </w:p>
    <w:p>
      <w:pPr>
        <w:pStyle w:val="9"/>
        <w:numPr>
          <w:ilvl w:val="0"/>
          <w:numId w:val="2"/>
        </w:numPr>
        <w:rPr>
          <w:rFonts w:hint="eastAsia" w:hAnsi="黑体"/>
          <w:b/>
          <w:sz w:val="32"/>
          <w:szCs w:val="32"/>
        </w:rPr>
      </w:pPr>
      <w:r>
        <w:rPr>
          <w:rFonts w:hint="eastAsia" w:hAnsi="黑体"/>
          <w:b/>
          <w:sz w:val="32"/>
          <w:szCs w:val="32"/>
        </w:rPr>
        <w:t>机关运行经费支出说明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w:t>
      </w:r>
      <w:r>
        <w:rPr>
          <w:rFonts w:hint="eastAsia" w:asciiTheme="minorEastAsia" w:hAnsiTheme="minorEastAsia" w:eastAsiaTheme="minorEastAsia"/>
          <w:sz w:val="32"/>
          <w:szCs w:val="32"/>
          <w:lang w:val="en-US" w:eastAsia="zh-CN"/>
        </w:rPr>
        <w:t>单位</w:t>
      </w:r>
      <w:r>
        <w:rPr>
          <w:rFonts w:hint="eastAsia" w:asciiTheme="minorEastAsia" w:hAnsiTheme="minorEastAsia" w:eastAsiaTheme="minorEastAsia"/>
          <w:sz w:val="32"/>
          <w:szCs w:val="32"/>
        </w:rPr>
        <w:t>没有一般公共预算财政拨款支出单位运行经费。</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2021年本部门开支会议费</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万元；开支培训费</w:t>
      </w:r>
      <w:r>
        <w:rPr>
          <w:rFonts w:hint="eastAsia" w:asciiTheme="minorEastAsia" w:hAnsiTheme="minorEastAsia" w:eastAsiaTheme="minorEastAsia"/>
          <w:sz w:val="32"/>
          <w:szCs w:val="32"/>
          <w:highlight w:val="none"/>
          <w:lang w:val="en-US" w:eastAsia="zh-CN"/>
        </w:rPr>
        <w:t>12.45</w:t>
      </w:r>
      <w:r>
        <w:rPr>
          <w:rFonts w:hint="eastAsia" w:asciiTheme="minorEastAsia" w:hAnsiTheme="minorEastAsia" w:eastAsiaTheme="minorEastAsia"/>
          <w:sz w:val="32"/>
          <w:szCs w:val="32"/>
          <w:highlight w:val="none"/>
        </w:rPr>
        <w:t>万元，用于开展</w:t>
      </w:r>
      <w:r>
        <w:rPr>
          <w:rFonts w:hint="eastAsia" w:asciiTheme="minorEastAsia" w:hAnsiTheme="minorEastAsia" w:eastAsiaTheme="minorEastAsia"/>
          <w:sz w:val="32"/>
          <w:szCs w:val="32"/>
          <w:highlight w:val="none"/>
          <w:lang w:val="en-US" w:eastAsia="zh-CN"/>
        </w:rPr>
        <w:t>教师</w:t>
      </w:r>
      <w:r>
        <w:rPr>
          <w:rFonts w:hint="eastAsia" w:asciiTheme="minorEastAsia" w:hAnsiTheme="minorEastAsia" w:eastAsiaTheme="minorEastAsia"/>
          <w:sz w:val="32"/>
          <w:szCs w:val="32"/>
          <w:highlight w:val="none"/>
        </w:rPr>
        <w:t>培训，人数191人，内容为《读懂儿童》</w:t>
      </w:r>
      <w:r>
        <w:rPr>
          <w:rFonts w:hint="eastAsia" w:asciiTheme="minorEastAsia" w:hAnsiTheme="minorEastAsia" w:eastAsiaTheme="minorEastAsia"/>
          <w:sz w:val="32"/>
          <w:szCs w:val="32"/>
          <w:highlight w:val="none"/>
          <w:lang w:val="en-US" w:eastAsia="zh-CN"/>
        </w:rPr>
        <w:t>及省学前教育学会2021年年会培训等</w:t>
      </w:r>
      <w:r>
        <w:rPr>
          <w:rFonts w:hint="eastAsia" w:asciiTheme="minorEastAsia" w:hAnsiTheme="minorEastAsia" w:eastAsiaTheme="minorEastAsia"/>
          <w:sz w:val="32"/>
          <w:szCs w:val="32"/>
          <w:highlight w:val="none"/>
        </w:rPr>
        <w:t>。</w:t>
      </w:r>
    </w:p>
    <w:p>
      <w:pPr>
        <w:pStyle w:val="9"/>
        <w:rPr>
          <w:rFonts w:hAnsi="黑体"/>
          <w:b/>
          <w:sz w:val="32"/>
          <w:szCs w:val="32"/>
          <w:highlight w:val="none"/>
        </w:rPr>
      </w:pPr>
      <w:r>
        <w:rPr>
          <w:rFonts w:hint="eastAsia" w:hAnsi="黑体"/>
          <w:b/>
          <w:sz w:val="32"/>
          <w:szCs w:val="32"/>
          <w:highlight w:val="none"/>
        </w:rPr>
        <w:t>十一、政府采购支出说明</w:t>
      </w:r>
    </w:p>
    <w:p>
      <w:pPr>
        <w:pStyle w:val="9"/>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本部门2021年度政府采购支出总额</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万元，其中：政府采购货物支出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万元、政府采购工程支出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万元、政府采购服务支出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万元。授予中小企业合同金额</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w:t>
      </w:r>
      <w:r>
        <w:rPr>
          <w:rFonts w:hint="eastAsia" w:asciiTheme="minorEastAsia" w:hAnsiTheme="minorEastAsia" w:eastAsiaTheme="minorEastAsia"/>
          <w:sz w:val="32"/>
          <w:szCs w:val="32"/>
          <w:highlight w:val="none"/>
          <w:lang w:val="en-US" w:eastAsia="zh-CN"/>
        </w:rPr>
        <w:t>无</w:t>
      </w:r>
      <w:r>
        <w:rPr>
          <w:rFonts w:hint="eastAsia" w:asciiTheme="minorEastAsia" w:hAnsiTheme="minorEastAsia" w:eastAsiaTheme="minorEastAsia"/>
          <w:sz w:val="32"/>
          <w:szCs w:val="32"/>
          <w:highlight w:val="none"/>
        </w:rPr>
        <w:t>占政府采购支出总额</w:t>
      </w:r>
      <w:r>
        <w:rPr>
          <w:rFonts w:hint="eastAsia" w:asciiTheme="minorEastAsia" w:hAnsiTheme="minorEastAsia" w:eastAsiaTheme="minorEastAsia"/>
          <w:sz w:val="32"/>
          <w:szCs w:val="32"/>
          <w:highlight w:val="none"/>
          <w:lang w:val="en-US" w:eastAsia="zh-CN"/>
        </w:rPr>
        <w:t>比例</w:t>
      </w:r>
      <w:r>
        <w:rPr>
          <w:rFonts w:hint="eastAsia" w:asciiTheme="minorEastAsia" w:hAnsiTheme="minorEastAsia" w:eastAsiaTheme="minorEastAsia"/>
          <w:sz w:val="32"/>
          <w:szCs w:val="32"/>
          <w:highlight w:val="none"/>
        </w:rPr>
        <w:t>，其中：授予小微企业合同金额</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w:t>
      </w:r>
      <w:r>
        <w:rPr>
          <w:rFonts w:hint="eastAsia" w:asciiTheme="minorEastAsia" w:hAnsiTheme="minorEastAsia" w:eastAsiaTheme="minorEastAsia"/>
          <w:sz w:val="32"/>
          <w:szCs w:val="32"/>
          <w:highlight w:val="none"/>
          <w:lang w:val="en-US" w:eastAsia="zh-CN"/>
        </w:rPr>
        <w:t>无</w:t>
      </w:r>
      <w:r>
        <w:rPr>
          <w:rFonts w:hint="eastAsia" w:asciiTheme="minorEastAsia" w:hAnsiTheme="minorEastAsia" w:eastAsiaTheme="minorEastAsia"/>
          <w:sz w:val="32"/>
          <w:szCs w:val="32"/>
          <w:highlight w:val="none"/>
        </w:rPr>
        <w:t>占授予中小企业合同金额</w:t>
      </w:r>
      <w:r>
        <w:rPr>
          <w:rFonts w:hint="eastAsia" w:asciiTheme="minorEastAsia" w:hAnsiTheme="minorEastAsia" w:eastAsiaTheme="minorEastAsia"/>
          <w:sz w:val="32"/>
          <w:szCs w:val="32"/>
          <w:highlight w:val="none"/>
          <w:lang w:val="en-US" w:eastAsia="zh-CN"/>
        </w:rPr>
        <w:t>比例</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val="en-US" w:eastAsia="zh-CN"/>
        </w:rPr>
        <w:t>无</w:t>
      </w:r>
      <w:r>
        <w:rPr>
          <w:rFonts w:hint="eastAsia" w:asciiTheme="minorEastAsia" w:hAnsiTheme="minorEastAsia" w:eastAsiaTheme="minorEastAsia"/>
          <w:sz w:val="32"/>
          <w:szCs w:val="32"/>
          <w:highlight w:val="none"/>
        </w:rPr>
        <w:t>货物采购授予中小企业合同金额占货物支出金额</w:t>
      </w:r>
      <w:r>
        <w:rPr>
          <w:rFonts w:hint="eastAsia" w:asciiTheme="minorEastAsia" w:hAnsiTheme="minorEastAsia" w:eastAsiaTheme="minorEastAsia"/>
          <w:sz w:val="32"/>
          <w:szCs w:val="32"/>
          <w:highlight w:val="none"/>
          <w:lang w:val="en-US" w:eastAsia="zh-CN"/>
        </w:rPr>
        <w:t>比例</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val="en-US" w:eastAsia="zh-CN"/>
        </w:rPr>
        <w:t>无</w:t>
      </w:r>
      <w:r>
        <w:rPr>
          <w:rFonts w:hint="eastAsia" w:asciiTheme="minorEastAsia" w:hAnsiTheme="minorEastAsia" w:eastAsiaTheme="minorEastAsia"/>
          <w:sz w:val="32"/>
          <w:szCs w:val="32"/>
          <w:highlight w:val="none"/>
        </w:rPr>
        <w:t>工程采购授予中小企业合同金额占工程支出金额</w:t>
      </w:r>
      <w:r>
        <w:rPr>
          <w:rFonts w:hint="eastAsia" w:asciiTheme="minorEastAsia" w:hAnsiTheme="minorEastAsia" w:eastAsiaTheme="minorEastAsia"/>
          <w:sz w:val="32"/>
          <w:szCs w:val="32"/>
          <w:highlight w:val="none"/>
          <w:lang w:val="en-US" w:eastAsia="zh-CN"/>
        </w:rPr>
        <w:t>比例</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无</w:t>
      </w:r>
      <w:r>
        <w:rPr>
          <w:rFonts w:hint="eastAsia" w:asciiTheme="minorEastAsia" w:hAnsiTheme="minorEastAsia" w:eastAsiaTheme="minorEastAsia"/>
          <w:sz w:val="32"/>
          <w:szCs w:val="32"/>
          <w:highlight w:val="none"/>
        </w:rPr>
        <w:t>服务采购授予中小企业合同金额占服务支出金额</w:t>
      </w:r>
      <w:r>
        <w:rPr>
          <w:rFonts w:hint="eastAsia" w:asciiTheme="minorEastAsia" w:hAnsiTheme="minorEastAsia" w:eastAsiaTheme="minorEastAsia"/>
          <w:sz w:val="32"/>
          <w:szCs w:val="32"/>
          <w:highlight w:val="none"/>
          <w:lang w:val="en-US" w:eastAsia="zh-CN"/>
        </w:rPr>
        <w:t>比例</w:t>
      </w:r>
      <w:r>
        <w:rPr>
          <w:rFonts w:hint="eastAsia" w:asciiTheme="minorEastAsia" w:hAnsiTheme="minorEastAsia" w:eastAsiaTheme="minorEastAsia"/>
          <w:sz w:val="32"/>
          <w:szCs w:val="32"/>
          <w:highlight w:val="none"/>
        </w:rPr>
        <w:t>。</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val="en-US" w:eastAsia="zh-CN"/>
        </w:rPr>
        <w:t>本单位</w:t>
      </w:r>
      <w:r>
        <w:rPr>
          <w:rFonts w:hint="eastAsia" w:asciiTheme="minorEastAsia" w:hAnsiTheme="minorEastAsia" w:eastAsiaTheme="minorEastAsia"/>
          <w:sz w:val="32"/>
          <w:szCs w:val="32"/>
        </w:rPr>
        <w:t>共有车辆</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辆，均为业务用车；单位价值50万元以上通用设备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w:t>
      </w:r>
      <w:r>
        <w:rPr>
          <w:rFonts w:hint="eastAsia" w:cs="黑体" w:asciiTheme="minorEastAsia" w:hAnsiTheme="minorEastAsia"/>
          <w:color w:val="000000"/>
          <w:kern w:val="0"/>
          <w:sz w:val="32"/>
          <w:szCs w:val="32"/>
          <w:lang w:val="en-US" w:eastAsia="zh-CN"/>
        </w:rPr>
        <w:t>单位</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3</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457.59</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学前教育</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其他教育支出</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eastAsia="zh-CN"/>
        </w:rPr>
        <w:t>“其他文化和旅游支出”</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457.59</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val="en-US" w:eastAsia="zh-CN"/>
        </w:rPr>
        <w:t>2021年全年无一例安全事故，高质量完成对幼儿的教育教学与保育保健任务</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w:t>
      </w: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本单位2021年度绩效评价已纳入省文化和旅游厅部门整体绩效评价，绩效报告情况见省文旅厅公示网页</w:t>
      </w:r>
      <w:r>
        <w:rPr>
          <w:rFonts w:hint="eastAsia" w:cs="黑体" w:asciiTheme="minorEastAsia" w:hAnsiTheme="minorEastAsia"/>
          <w:color w:val="000000"/>
          <w:kern w:val="0"/>
          <w:sz w:val="32"/>
          <w:szCs w:val="32"/>
          <w:lang w:eastAsia="zh-CN"/>
        </w:rPr>
        <w:t>。</w:t>
      </w: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both"/>
        <w:rPr>
          <w:rFonts w:hint="eastAsia" w:ascii="黑体" w:eastAsia="黑体" w:cs="黑体"/>
          <w:color w:val="000000"/>
          <w:kern w:val="0"/>
          <w:sz w:val="70"/>
          <w:szCs w:val="70"/>
        </w:rPr>
      </w:pPr>
    </w:p>
    <w:p>
      <w:pPr>
        <w:jc w:val="both"/>
        <w:rPr>
          <w:rFonts w:hint="eastAsia" w:ascii="黑体" w:eastAsia="黑体" w:cs="黑体"/>
          <w:color w:val="000000"/>
          <w:kern w:val="0"/>
          <w:sz w:val="70"/>
          <w:szCs w:val="70"/>
        </w:rPr>
      </w:pPr>
    </w:p>
    <w:p>
      <w:pPr>
        <w:jc w:val="both"/>
        <w:rPr>
          <w:rFonts w:hint="eastAsia" w:ascii="黑体" w:eastAsia="黑体" w:cs="黑体"/>
          <w:color w:val="000000"/>
          <w:kern w:val="0"/>
          <w:sz w:val="70"/>
          <w:szCs w:val="70"/>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1、财政拨款收入：指省级财政当年拨付的资金。 </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2、其他收入：指除“财政拨款收入”以外的收入。主要是上级单位拨款、存款利息收入等。 </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基本支出：指为保障机构正常运转、完成日常工作任务而发生的事业单位履行一般行政管理职能，维持单位日常运转所必须开支的费用，包括用于工资、津贴及奖金等的人员经费和用于办公、水电费等的公用经费。</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4、项目支出：指在基本支出之外为完成特定任务和事业发展目标所发生的支出。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5、年初结转和结余：指以前年度尚未完成、结转到本年仍按原规定用途继续使用的资金，或项目已完成等产生的结余资金。</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6、年末结转和结余：指单位按有关规定结转到下年或以后年度继续使用的资金。 </w:t>
      </w:r>
    </w:p>
    <w:p>
      <w:pPr>
        <w:autoSpaceDE w:val="0"/>
        <w:autoSpaceDN w:val="0"/>
        <w:adjustRightInd w:val="0"/>
        <w:ind w:firstLine="640" w:firstLineChars="200"/>
        <w:jc w:val="left"/>
        <w:rPr>
          <w:sz w:val="72"/>
          <w:szCs w:val="72"/>
        </w:rPr>
      </w:pPr>
      <w:r>
        <w:rPr>
          <w:rFonts w:hint="eastAsia" w:cs="黑体" w:asciiTheme="minorEastAsia" w:hAnsiTheme="minorEastAsia"/>
          <w:color w:val="000000"/>
          <w:kern w:val="0"/>
          <w:sz w:val="32"/>
          <w:szCs w:val="32"/>
        </w:rPr>
        <w:t>7、“三公”经费：纳入财政预决算管理的“三公”经费，是指用财政拨款安排的因公出国(境)费、公务用车购置及运行费和公务接待费。其中，因公出国(境)费反映单位因公务出国 (境)的国际旅费、国外城市间交通费、住宿费、伙食费、培训费、公杂费等支出；公务用车购置及运行费反映单位因公务用车车辆购置支出(含车辆购置税)及租用费、燃料费、维修费、过路过桥费、保险费、安全奖励费用等支出；公务接待费反映单位按中央和省委省政府相关规定开支的各类公务接待(含外宾接待)支出。</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highlight w:val="none"/>
        </w:rPr>
      </w:pPr>
      <w:r>
        <w:rPr>
          <w:rFonts w:hint="eastAsia" w:cs="黑体" w:asciiTheme="minorEastAsia" w:hAnsiTheme="minorEastAsia"/>
          <w:b/>
          <w:color w:val="000000"/>
          <w:kern w:val="0"/>
          <w:sz w:val="32"/>
          <w:szCs w:val="32"/>
          <w:highlight w:val="none"/>
        </w:rPr>
        <w:t>2021年度部门整体支出绩效评价报告</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本单位2021年度绩效评价已纳入省文化和旅游厅部门整体绩效评价，绩效报告情况见省文旅厅公示网页</w:t>
      </w:r>
      <w:r>
        <w:rPr>
          <w:rFonts w:hint="eastAsia" w:cs="黑体" w:asciiTheme="minorEastAsia" w:hAnsiTheme="minorEastAsia"/>
          <w:color w:val="000000"/>
          <w:kern w:val="0"/>
          <w:sz w:val="32"/>
          <w:szCs w:val="32"/>
          <w:lang w:eastAsia="zh-CN"/>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widowControl/>
        <w:jc w:val="left"/>
        <w:rPr>
          <w:rFonts w:ascii="黑体" w:eastAsia="黑体" w:cs="黑体"/>
          <w:color w:val="000000"/>
          <w:kern w:val="0"/>
          <w:sz w:val="70"/>
          <w:szCs w:val="70"/>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66A4E9"/>
    <w:multiLevelType w:val="singleLevel"/>
    <w:tmpl w:val="8D66A4E9"/>
    <w:lvl w:ilvl="0" w:tentative="0">
      <w:start w:val="9"/>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iYTA0NjVjZDAyNTc3NmMxY2NmMjA2N2I1YjFhODQ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30C06C7"/>
    <w:rsid w:val="032E7B21"/>
    <w:rsid w:val="03435B79"/>
    <w:rsid w:val="03800D34"/>
    <w:rsid w:val="03F07987"/>
    <w:rsid w:val="067526A6"/>
    <w:rsid w:val="07DD49A7"/>
    <w:rsid w:val="081303C8"/>
    <w:rsid w:val="0A9B7BDC"/>
    <w:rsid w:val="0AFF2E86"/>
    <w:rsid w:val="0BB52366"/>
    <w:rsid w:val="0BEF2EFA"/>
    <w:rsid w:val="0BF406C9"/>
    <w:rsid w:val="0F835F92"/>
    <w:rsid w:val="0F865C1D"/>
    <w:rsid w:val="10EF574B"/>
    <w:rsid w:val="137B0412"/>
    <w:rsid w:val="13BC5DB8"/>
    <w:rsid w:val="17B6418E"/>
    <w:rsid w:val="18463EA2"/>
    <w:rsid w:val="1CDF05D1"/>
    <w:rsid w:val="1DF82414"/>
    <w:rsid w:val="1E761256"/>
    <w:rsid w:val="1EAE5366"/>
    <w:rsid w:val="1FA9140B"/>
    <w:rsid w:val="1FB7222F"/>
    <w:rsid w:val="205F075F"/>
    <w:rsid w:val="210259E5"/>
    <w:rsid w:val="274A6DDF"/>
    <w:rsid w:val="276A25B5"/>
    <w:rsid w:val="281E17FF"/>
    <w:rsid w:val="28357A8F"/>
    <w:rsid w:val="298861E2"/>
    <w:rsid w:val="29DB1BF4"/>
    <w:rsid w:val="2AD57308"/>
    <w:rsid w:val="2BB533C1"/>
    <w:rsid w:val="2C9254B0"/>
    <w:rsid w:val="2E3D769E"/>
    <w:rsid w:val="2FC7480C"/>
    <w:rsid w:val="30D156C0"/>
    <w:rsid w:val="31A133E4"/>
    <w:rsid w:val="34243421"/>
    <w:rsid w:val="391D359F"/>
    <w:rsid w:val="394418E0"/>
    <w:rsid w:val="3B767DDB"/>
    <w:rsid w:val="3B7F12F6"/>
    <w:rsid w:val="3CB26DAC"/>
    <w:rsid w:val="3CE86A81"/>
    <w:rsid w:val="3ED454B4"/>
    <w:rsid w:val="3F085BDF"/>
    <w:rsid w:val="405532B0"/>
    <w:rsid w:val="411236BB"/>
    <w:rsid w:val="42BC0224"/>
    <w:rsid w:val="42EB7271"/>
    <w:rsid w:val="433429C6"/>
    <w:rsid w:val="43470FC7"/>
    <w:rsid w:val="452B268D"/>
    <w:rsid w:val="494E1CC8"/>
    <w:rsid w:val="4A5312B5"/>
    <w:rsid w:val="4ABA5EC7"/>
    <w:rsid w:val="4F4C0F2D"/>
    <w:rsid w:val="535D049D"/>
    <w:rsid w:val="542076D2"/>
    <w:rsid w:val="56217D69"/>
    <w:rsid w:val="56262642"/>
    <w:rsid w:val="57A079AF"/>
    <w:rsid w:val="586170E7"/>
    <w:rsid w:val="5A9C7376"/>
    <w:rsid w:val="5ABE35D2"/>
    <w:rsid w:val="5C62014C"/>
    <w:rsid w:val="5CC346E6"/>
    <w:rsid w:val="61F23D20"/>
    <w:rsid w:val="62D02824"/>
    <w:rsid w:val="62F92E8C"/>
    <w:rsid w:val="63271C45"/>
    <w:rsid w:val="6421269A"/>
    <w:rsid w:val="65FB3353"/>
    <w:rsid w:val="662238C9"/>
    <w:rsid w:val="67411CBF"/>
    <w:rsid w:val="69D501AF"/>
    <w:rsid w:val="6A7D0134"/>
    <w:rsid w:val="6A80797C"/>
    <w:rsid w:val="6BC4672D"/>
    <w:rsid w:val="6BEB4305"/>
    <w:rsid w:val="6D415B5B"/>
    <w:rsid w:val="6E663B62"/>
    <w:rsid w:val="70E81534"/>
    <w:rsid w:val="71926D13"/>
    <w:rsid w:val="71B772E6"/>
    <w:rsid w:val="71CF7875"/>
    <w:rsid w:val="7439758C"/>
    <w:rsid w:val="76EF40BB"/>
    <w:rsid w:val="77250B48"/>
    <w:rsid w:val="78D37D6C"/>
    <w:rsid w:val="7A472BA5"/>
    <w:rsid w:val="7BDB0514"/>
    <w:rsid w:val="7C943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6428</Words>
  <Characters>8241</Characters>
  <Lines>69</Lines>
  <Paragraphs>19</Paragraphs>
  <TotalTime>53</TotalTime>
  <ScaleCrop>false</ScaleCrop>
  <LinksUpToDate>false</LinksUpToDate>
  <CharactersWithSpaces>9447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2022-09-15T07:19:11Z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FEB2F6504A794633944D9556E669D2AA</vt:lpwstr>
  </property>
</Properties>
</file>